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2"/>
        <w:gridCol w:w="1322"/>
        <w:gridCol w:w="5562"/>
      </w:tblGrid>
      <w:tr w:rsidR="009E09A1" w:rsidRPr="00882F62" w14:paraId="1B5DABBC" w14:textId="77777777" w:rsidTr="00EF2E0B">
        <w:tc>
          <w:tcPr>
            <w:tcW w:w="2472" w:type="dxa"/>
          </w:tcPr>
          <w:p w14:paraId="3B71C7AF" w14:textId="77777777" w:rsidR="009E09A1" w:rsidRPr="00D710AF" w:rsidRDefault="009E09A1" w:rsidP="00207292">
            <w:pPr>
              <w:ind w:right="-159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>
              <w:rPr>
                <w:rFonts w:ascii="Tahoma" w:eastAsiaTheme="majorEastAsia" w:hAnsi="Tahoma" w:cs="Tahoma"/>
                <w:noProof/>
                <w:spacing w:val="-1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9D4173" wp14:editId="51E4CC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2281474" cy="54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D_RGB_RU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4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2" w:type="dxa"/>
          </w:tcPr>
          <w:p w14:paraId="17065832" w14:textId="77777777" w:rsidR="009E09A1" w:rsidRPr="00F86C23" w:rsidRDefault="009E09A1" w:rsidP="00207292">
            <w:pPr>
              <w:spacing w:line="360" w:lineRule="auto"/>
              <w:ind w:right="-159"/>
              <w:rPr>
                <w:rFonts w:ascii="Tahoma" w:hAnsi="Tahoma" w:cs="Tahoma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5562" w:type="dxa"/>
          </w:tcPr>
          <w:p w14:paraId="697244E9" w14:textId="77777777" w:rsidR="009E09A1" w:rsidRPr="009C1612" w:rsidRDefault="009E09A1" w:rsidP="00293C50">
            <w:pPr>
              <w:tabs>
                <w:tab w:val="left" w:pos="9214"/>
              </w:tabs>
              <w:spacing w:line="276" w:lineRule="auto"/>
              <w:ind w:left="2054"/>
              <w:rPr>
                <w:rFonts w:ascii="Tahoma" w:hAnsi="Tahoma" w:cs="Tahoma"/>
                <w:bCs/>
              </w:rPr>
            </w:pPr>
            <w:r w:rsidRPr="009C1612">
              <w:rPr>
                <w:rFonts w:ascii="Tahoma" w:hAnsi="Tahoma" w:cs="Tahoma"/>
                <w:bCs/>
              </w:rPr>
              <w:t xml:space="preserve">Приложение </w:t>
            </w:r>
            <w:r w:rsidRPr="009C1612">
              <w:rPr>
                <w:rFonts w:ascii="Tahoma" w:hAnsi="Tahoma" w:cs="Tahoma"/>
                <w:bCs/>
              </w:rPr>
              <w:br/>
              <w:t xml:space="preserve">к приказу НКО АО НРД </w:t>
            </w:r>
          </w:p>
          <w:p w14:paraId="5FCA9B2C" w14:textId="0C005270" w:rsidR="009E09A1" w:rsidRPr="00D710AF" w:rsidRDefault="009E09A1" w:rsidP="00293C50">
            <w:pPr>
              <w:tabs>
                <w:tab w:val="left" w:pos="9214"/>
              </w:tabs>
              <w:spacing w:line="276" w:lineRule="auto"/>
              <w:ind w:left="1341" w:firstLine="713"/>
              <w:rPr>
                <w:rFonts w:ascii="Tahoma" w:hAnsi="Tahoma" w:cs="Tahoma"/>
                <w:b/>
                <w:bCs/>
              </w:rPr>
            </w:pPr>
            <w:r w:rsidRPr="009C1612">
              <w:rPr>
                <w:rFonts w:ascii="Tahoma" w:hAnsi="Tahoma" w:cs="Tahoma"/>
                <w:bCs/>
              </w:rPr>
              <w:t>от «</w:t>
            </w:r>
            <w:r w:rsidR="00EF2E0B">
              <w:rPr>
                <w:rFonts w:ascii="Tahoma" w:hAnsi="Tahoma" w:cs="Tahoma"/>
                <w:bCs/>
              </w:rPr>
              <w:t>09</w:t>
            </w:r>
            <w:r w:rsidRPr="009C1612">
              <w:rPr>
                <w:rFonts w:ascii="Tahoma" w:hAnsi="Tahoma" w:cs="Tahoma"/>
                <w:bCs/>
              </w:rPr>
              <w:t xml:space="preserve">» </w:t>
            </w:r>
            <w:r w:rsidR="00EF2E0B">
              <w:rPr>
                <w:rFonts w:ascii="Tahoma" w:hAnsi="Tahoma" w:cs="Tahoma"/>
                <w:bCs/>
              </w:rPr>
              <w:t xml:space="preserve">октября </w:t>
            </w:r>
            <w:r w:rsidR="00293C50" w:rsidRPr="00843EB0">
              <w:rPr>
                <w:rFonts w:ascii="Tahoma" w:hAnsi="Tahoma" w:cs="Tahoma"/>
                <w:bCs/>
              </w:rPr>
              <w:t>2020</w:t>
            </w:r>
            <w:r w:rsidR="00293C50">
              <w:rPr>
                <w:rFonts w:ascii="Tahoma" w:hAnsi="Tahoma" w:cs="Tahoma"/>
                <w:bCs/>
              </w:rPr>
              <w:t xml:space="preserve"> г.</w:t>
            </w:r>
            <w:r w:rsidRPr="009C1612">
              <w:rPr>
                <w:rFonts w:ascii="Tahoma" w:hAnsi="Tahoma" w:cs="Tahoma"/>
                <w:bCs/>
              </w:rPr>
              <w:t xml:space="preserve"> № </w:t>
            </w:r>
            <w:r w:rsidR="00EF2E0B">
              <w:rPr>
                <w:rFonts w:ascii="Tahoma" w:hAnsi="Tahoma" w:cs="Tahoma"/>
                <w:bCs/>
              </w:rPr>
              <w:t>206</w:t>
            </w:r>
            <w:r w:rsidRPr="00D710AF">
              <w:rPr>
                <w:rFonts w:ascii="Tahoma" w:hAnsi="Tahoma" w:cs="Tahoma"/>
                <w:b/>
                <w:bCs/>
              </w:rPr>
              <w:t xml:space="preserve">   </w:t>
            </w:r>
          </w:p>
          <w:p w14:paraId="7AAFE2D6" w14:textId="77777777" w:rsidR="009E09A1" w:rsidRPr="00D710AF" w:rsidRDefault="009E09A1" w:rsidP="00207292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489E359C" w14:textId="77777777" w:rsidR="009E09A1" w:rsidRPr="00D710AF" w:rsidRDefault="009E09A1" w:rsidP="00207292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787B83E6" w14:textId="77777777" w:rsidR="009E09A1" w:rsidRPr="00D710AF" w:rsidRDefault="009E09A1" w:rsidP="00207292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>«СОГЛАСОВАНО»</w:t>
            </w:r>
          </w:p>
          <w:p w14:paraId="358013C7" w14:textId="1D2A2EEB" w:rsidR="009E09A1" w:rsidRPr="00D710AF" w:rsidRDefault="009E09A1" w:rsidP="00207292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 xml:space="preserve">Экспертным </w:t>
            </w:r>
            <w:r w:rsidR="00F17C00">
              <w:rPr>
                <w:rFonts w:ascii="Tahoma" w:hAnsi="Tahoma" w:cs="Tahoma"/>
                <w:b/>
                <w:bCs/>
              </w:rPr>
              <w:t>с</w:t>
            </w:r>
            <w:r w:rsidRPr="00D710AF">
              <w:rPr>
                <w:rFonts w:ascii="Tahoma" w:hAnsi="Tahoma" w:cs="Tahoma"/>
                <w:b/>
                <w:bCs/>
              </w:rPr>
              <w:t xml:space="preserve">оветом </w:t>
            </w:r>
          </w:p>
          <w:p w14:paraId="0D8391A3" w14:textId="77777777" w:rsidR="009E09A1" w:rsidRPr="00D710AF" w:rsidRDefault="009E09A1" w:rsidP="00207292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 xml:space="preserve">Ценового </w:t>
            </w:r>
            <w:r>
              <w:rPr>
                <w:rFonts w:ascii="Tahoma" w:hAnsi="Tahoma" w:cs="Tahoma"/>
                <w:b/>
                <w:bCs/>
              </w:rPr>
              <w:t>ц</w:t>
            </w:r>
            <w:r w:rsidRPr="00D710AF">
              <w:rPr>
                <w:rFonts w:ascii="Tahoma" w:hAnsi="Tahoma" w:cs="Tahoma"/>
                <w:b/>
                <w:bCs/>
              </w:rPr>
              <w:t xml:space="preserve">ентра НКО АО НРД </w:t>
            </w:r>
          </w:p>
          <w:p w14:paraId="0B76D39D" w14:textId="2011AD3E" w:rsidR="009E09A1" w:rsidRPr="00D710AF" w:rsidRDefault="00843EB0" w:rsidP="00821715">
            <w:pPr>
              <w:spacing w:line="276" w:lineRule="auto"/>
              <w:ind w:left="-356" w:firstLine="356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(протокол №</w:t>
            </w:r>
            <w:r w:rsidR="00821715">
              <w:rPr>
                <w:rFonts w:ascii="Tahoma" w:hAnsi="Tahoma" w:cs="Tahoma"/>
                <w:b/>
                <w:bCs/>
              </w:rPr>
              <w:t xml:space="preserve"> 28</w:t>
            </w:r>
            <w:r w:rsidR="009E09A1" w:rsidRPr="00D710AF">
              <w:rPr>
                <w:rFonts w:ascii="Tahoma" w:hAnsi="Tahoma" w:cs="Tahoma"/>
                <w:b/>
                <w:bCs/>
              </w:rPr>
              <w:t xml:space="preserve"> от «</w:t>
            </w:r>
            <w:r w:rsidR="00821715">
              <w:rPr>
                <w:rFonts w:ascii="Tahoma" w:hAnsi="Tahoma" w:cs="Tahoma"/>
                <w:b/>
                <w:bCs/>
              </w:rPr>
              <w:t>13</w:t>
            </w:r>
            <w:r w:rsidR="009E09A1" w:rsidRPr="00D710AF">
              <w:rPr>
                <w:rFonts w:ascii="Tahoma" w:hAnsi="Tahoma" w:cs="Tahoma"/>
                <w:b/>
                <w:bCs/>
              </w:rPr>
              <w:t xml:space="preserve">» </w:t>
            </w:r>
            <w:r w:rsidR="00821715">
              <w:rPr>
                <w:rFonts w:ascii="Tahoma" w:hAnsi="Tahoma" w:cs="Tahoma"/>
                <w:b/>
                <w:bCs/>
              </w:rPr>
              <w:t>августа</w:t>
            </w:r>
            <w:r w:rsidR="009E09A1" w:rsidRPr="00D710AF">
              <w:rPr>
                <w:rFonts w:ascii="Tahoma" w:hAnsi="Tahoma" w:cs="Tahoma"/>
                <w:b/>
                <w:bCs/>
              </w:rPr>
              <w:t xml:space="preserve"> </w:t>
            </w:r>
            <w:r w:rsidR="00821715">
              <w:rPr>
                <w:rFonts w:ascii="Tahoma" w:hAnsi="Tahoma" w:cs="Tahoma"/>
                <w:b/>
                <w:bCs/>
              </w:rPr>
              <w:t>2020</w:t>
            </w:r>
            <w:r w:rsidR="009E09A1" w:rsidRPr="00D710AF">
              <w:rPr>
                <w:rFonts w:ascii="Tahoma" w:hAnsi="Tahoma" w:cs="Tahoma"/>
                <w:b/>
                <w:bCs/>
              </w:rPr>
              <w:t xml:space="preserve"> года)</w:t>
            </w:r>
          </w:p>
          <w:p w14:paraId="68A0E6C1" w14:textId="77777777" w:rsidR="009E09A1" w:rsidRPr="00D710AF" w:rsidRDefault="009E09A1" w:rsidP="00207292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11"/>
              <w:gridCol w:w="1218"/>
              <w:gridCol w:w="2717"/>
            </w:tblGrid>
            <w:tr w:rsidR="009E09A1" w:rsidRPr="00D710AF" w14:paraId="3AB10DEC" w14:textId="77777777" w:rsidTr="00207292">
              <w:tc>
                <w:tcPr>
                  <w:tcW w:w="2508" w:type="dxa"/>
                </w:tcPr>
                <w:p w14:paraId="7FC16735" w14:textId="77777777" w:rsidR="009E09A1" w:rsidRPr="00D710AF" w:rsidRDefault="009E09A1" w:rsidP="00207292">
                  <w:pPr>
                    <w:ind w:right="-159"/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2136" w:type="dxa"/>
                </w:tcPr>
                <w:p w14:paraId="39A14814" w14:textId="77777777" w:rsidR="009E09A1" w:rsidRPr="00D710AF" w:rsidRDefault="009E09A1" w:rsidP="00207292">
                  <w:pPr>
                    <w:spacing w:line="360" w:lineRule="auto"/>
                    <w:ind w:right="-159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4820" w:type="dxa"/>
                </w:tcPr>
                <w:p w14:paraId="7B56E96D" w14:textId="77777777" w:rsidR="009E09A1" w:rsidRPr="00D710AF" w:rsidRDefault="009E09A1" w:rsidP="00207292">
                  <w:pPr>
                    <w:rPr>
                      <w:rFonts w:ascii="Tahoma" w:hAnsi="Tahoma" w:cs="Tahoma"/>
                    </w:rPr>
                  </w:pPr>
                </w:p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01"/>
                  </w:tblGrid>
                  <w:tr w:rsidR="009E09A1" w:rsidRPr="00D710AF" w14:paraId="242FA4C6" w14:textId="77777777" w:rsidTr="00207292">
                    <w:tc>
                      <w:tcPr>
                        <w:tcW w:w="4604" w:type="dxa"/>
                      </w:tcPr>
                      <w:p w14:paraId="5045E359" w14:textId="77777777" w:rsidR="009E09A1" w:rsidRPr="00D710AF" w:rsidRDefault="009E09A1" w:rsidP="00207292">
                        <w:pPr>
                          <w:spacing w:line="276" w:lineRule="auto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14:paraId="52D118CB" w14:textId="77777777" w:rsidR="009E09A1" w:rsidRPr="00D710AF" w:rsidRDefault="009E09A1" w:rsidP="00207292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14:paraId="356FD8F9" w14:textId="77777777" w:rsidR="009E09A1" w:rsidRPr="00D710AF" w:rsidRDefault="009E09A1" w:rsidP="00207292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p w14:paraId="1EE391D0" w14:textId="77777777" w:rsidR="009E09A1" w:rsidRPr="00D710AF" w:rsidRDefault="009E09A1" w:rsidP="00207292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</w:tbl>
    <w:p w14:paraId="73921699" w14:textId="77C8DE95" w:rsidR="009E09A1" w:rsidRPr="00D710AF" w:rsidRDefault="009E09A1" w:rsidP="00F17C00">
      <w:pPr>
        <w:ind w:right="-159"/>
        <w:jc w:val="center"/>
        <w:rPr>
          <w:rFonts w:ascii="Tahoma" w:eastAsiaTheme="majorEastAsia" w:hAnsi="Tahoma" w:cs="Tahoma"/>
          <w:b/>
          <w:spacing w:val="-10"/>
          <w:sz w:val="56"/>
          <w:szCs w:val="56"/>
        </w:rPr>
      </w:pPr>
      <w:r w:rsidRPr="00F768CF">
        <w:rPr>
          <w:rFonts w:ascii="Tahoma" w:hAnsi="Tahoma" w:cs="Tahoma"/>
          <w:b/>
          <w:sz w:val="52"/>
          <w:szCs w:val="52"/>
        </w:rPr>
        <w:t>Методика</w:t>
      </w:r>
      <w:r>
        <w:rPr>
          <w:rFonts w:ascii="Tahoma" w:hAnsi="Tahoma" w:cs="Tahoma"/>
          <w:b/>
          <w:sz w:val="52"/>
          <w:szCs w:val="52"/>
        </w:rPr>
        <w:br/>
      </w:r>
      <w:r w:rsidRPr="00F768CF">
        <w:rPr>
          <w:rFonts w:ascii="Tahoma" w:hAnsi="Tahoma" w:cs="Tahoma"/>
          <w:b/>
          <w:sz w:val="52"/>
          <w:szCs w:val="52"/>
        </w:rPr>
        <w:t xml:space="preserve">определения стоимости </w:t>
      </w:r>
      <w:r w:rsidR="00F17C00" w:rsidRPr="00F17C00">
        <w:rPr>
          <w:rFonts w:ascii="Tahoma" w:hAnsi="Tahoma" w:cs="Tahoma"/>
          <w:b/>
          <w:sz w:val="52"/>
          <w:szCs w:val="52"/>
        </w:rPr>
        <w:t>ипотечных ценных бумаг</w:t>
      </w:r>
      <w:bookmarkStart w:id="0" w:name="_GoBack"/>
      <w:bookmarkEnd w:id="0"/>
    </w:p>
    <w:p w14:paraId="4679DA7A" w14:textId="77777777" w:rsidR="009E09A1" w:rsidRDefault="009E09A1" w:rsidP="009E09A1">
      <w:pPr>
        <w:rPr>
          <w:rFonts w:ascii="Tahoma" w:eastAsiaTheme="majorEastAsia" w:hAnsi="Tahoma" w:cs="Tahoma"/>
          <w:spacing w:val="-10"/>
          <w:sz w:val="56"/>
          <w:szCs w:val="56"/>
        </w:rPr>
      </w:pPr>
      <w:r w:rsidRPr="00D710AF">
        <w:rPr>
          <w:rFonts w:ascii="Tahoma" w:eastAsiaTheme="majorEastAsia" w:hAnsi="Tahoma" w:cs="Tahoma"/>
          <w:spacing w:val="-10"/>
          <w:sz w:val="56"/>
          <w:szCs w:val="56"/>
        </w:rPr>
        <w:br w:type="page"/>
      </w:r>
    </w:p>
    <w:p w14:paraId="4BBF4D91" w14:textId="77777777" w:rsidR="009E09A1" w:rsidRPr="0052251D" w:rsidRDefault="009E09A1" w:rsidP="009E09A1">
      <w:pPr>
        <w:keepNext/>
        <w:keepLines/>
        <w:spacing w:before="40" w:after="0"/>
        <w:rPr>
          <w:rFonts w:ascii="Tahoma" w:eastAsia="Tahoma" w:hAnsi="Tahoma" w:cs="Tahoma"/>
          <w:b/>
          <w:color w:val="CE1126"/>
          <w:sz w:val="28"/>
          <w:szCs w:val="28"/>
        </w:rPr>
      </w:pPr>
      <w:r>
        <w:rPr>
          <w:rFonts w:ascii="Tahoma" w:eastAsia="Tahoma" w:hAnsi="Tahoma" w:cs="Tahoma"/>
          <w:b/>
          <w:color w:val="CE1126"/>
          <w:sz w:val="28"/>
          <w:szCs w:val="28"/>
        </w:rPr>
        <w:lastRenderedPageBreak/>
        <w:t>ТЕРМИНЫ И ОПРЕДЕЛЕНИЯ</w:t>
      </w:r>
    </w:p>
    <w:p w14:paraId="050F85F3" w14:textId="77777777" w:rsidR="009E09A1" w:rsidRDefault="009E09A1" w:rsidP="009E09A1">
      <w:pPr>
        <w:keepNext/>
        <w:keepLines/>
        <w:spacing w:before="40" w:after="0"/>
        <w:rPr>
          <w:rFonts w:ascii="Tahoma" w:eastAsia="Tahoma" w:hAnsi="Tahoma" w:cs="Tahoma"/>
          <w:bCs/>
          <w:sz w:val="24"/>
          <w:szCs w:val="24"/>
        </w:rPr>
      </w:pPr>
    </w:p>
    <w:p w14:paraId="3F927FB0" w14:textId="77777777" w:rsidR="009E09A1" w:rsidRPr="0052251D" w:rsidRDefault="009E09A1" w:rsidP="009E09A1">
      <w:pPr>
        <w:keepNext/>
        <w:keepLines/>
        <w:spacing w:before="40" w:after="0"/>
        <w:rPr>
          <w:rFonts w:ascii="Tahoma" w:eastAsia="Tahoma" w:hAnsi="Tahoma" w:cs="Tahoma"/>
          <w:bCs/>
          <w:sz w:val="20"/>
          <w:szCs w:val="20"/>
        </w:rPr>
      </w:pPr>
      <w:r w:rsidRPr="0052251D">
        <w:rPr>
          <w:rFonts w:ascii="Tahoma" w:eastAsia="Tahoma" w:hAnsi="Tahoma" w:cs="Tahoma"/>
          <w:bCs/>
          <w:sz w:val="28"/>
          <w:szCs w:val="28"/>
        </w:rPr>
        <w:t>Термины</w:t>
      </w:r>
      <w:r>
        <w:rPr>
          <w:rFonts w:ascii="Tahoma" w:eastAsia="Tahoma" w:hAnsi="Tahoma" w:cs="Tahoma"/>
          <w:bCs/>
          <w:sz w:val="20"/>
          <w:szCs w:val="20"/>
        </w:rPr>
        <w:br/>
      </w:r>
    </w:p>
    <w:p w14:paraId="7239568E" w14:textId="77777777" w:rsidR="009E09A1" w:rsidRPr="009C3983" w:rsidRDefault="009E09A1" w:rsidP="00DB7AE7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hAnsi="Tahoma" w:cs="Tahoma"/>
          <w:b/>
          <w:bCs/>
          <w:sz w:val="20"/>
          <w:szCs w:val="20"/>
        </w:rPr>
        <w:t>Закладная</w:t>
      </w:r>
      <w:r w:rsidRPr="009C3983">
        <w:rPr>
          <w:rFonts w:ascii="Tahoma" w:hAnsi="Tahoma" w:cs="Tahoma"/>
          <w:sz w:val="20"/>
          <w:szCs w:val="20"/>
        </w:rPr>
        <w:t xml:space="preserve"> – именная ценная бумага (вместе с добавочными листами и приложениями к ней), удостоверяющая право ее законного владельца на получение исполнения по </w:t>
      </w:r>
      <w:r>
        <w:rPr>
          <w:rFonts w:ascii="Tahoma" w:hAnsi="Tahoma" w:cs="Tahoma"/>
          <w:sz w:val="20"/>
          <w:szCs w:val="20"/>
        </w:rPr>
        <w:t>к</w:t>
      </w:r>
      <w:r w:rsidRPr="009C3983">
        <w:rPr>
          <w:rFonts w:ascii="Tahoma" w:hAnsi="Tahoma" w:cs="Tahoma"/>
          <w:sz w:val="20"/>
          <w:szCs w:val="20"/>
        </w:rPr>
        <w:t>редитному договору, обязательства по которому обеспечены ипотекой, и право залога на предмет ипотеки</w:t>
      </w:r>
      <w:r w:rsidRPr="009C3983">
        <w:rPr>
          <w:rFonts w:ascii="Tahoma" w:eastAsia="Tahoma" w:hAnsi="Tahoma" w:cs="Tahoma"/>
          <w:sz w:val="20"/>
          <w:szCs w:val="20"/>
        </w:rPr>
        <w:t>.</w:t>
      </w:r>
    </w:p>
    <w:p w14:paraId="1CBA7AB4" w14:textId="77777777" w:rsidR="009E09A1" w:rsidRPr="009C3983" w:rsidRDefault="009E09A1" w:rsidP="00DB7AE7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Закон об ИЦБ</w:t>
      </w:r>
      <w:r w:rsidRPr="009C3983">
        <w:rPr>
          <w:rFonts w:ascii="Tahoma" w:eastAsia="Tahoma" w:hAnsi="Tahoma" w:cs="Tahoma"/>
          <w:sz w:val="20"/>
          <w:szCs w:val="20"/>
        </w:rPr>
        <w:t xml:space="preserve"> – Федеральный закон от 11.11.2003 № 152-ФЗ «Об ипотечных ценных бумагах».</w:t>
      </w:r>
    </w:p>
    <w:p w14:paraId="3901FB45" w14:textId="77777777" w:rsidR="009E09A1" w:rsidRPr="009C3983" w:rsidRDefault="009E09A1" w:rsidP="00DB7AE7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Закон о РЦБ</w:t>
      </w:r>
      <w:r w:rsidRPr="009C3983">
        <w:rPr>
          <w:rFonts w:ascii="Tahoma" w:eastAsia="Tahoma" w:hAnsi="Tahoma" w:cs="Tahoma"/>
          <w:sz w:val="20"/>
          <w:szCs w:val="20"/>
        </w:rPr>
        <w:t xml:space="preserve"> – Федеральный закон от 22.04.1996 № 39-ФЗ «О рынке ценных бумаг».</w:t>
      </w:r>
    </w:p>
    <w:p w14:paraId="1C116288" w14:textId="77777777" w:rsidR="009E09A1" w:rsidRPr="009C3983" w:rsidRDefault="009E09A1" w:rsidP="00DB7AE7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Ипотечное покрытие</w:t>
      </w:r>
      <w:r w:rsidRPr="009C3983">
        <w:rPr>
          <w:rFonts w:ascii="Tahoma" w:eastAsia="Tahoma" w:hAnsi="Tahoma" w:cs="Tahoma"/>
          <w:sz w:val="20"/>
          <w:szCs w:val="20"/>
        </w:rPr>
        <w:t xml:space="preserve"> – имущество, включенное в ипотечное покрытие облигаций в соответствии с Законом об ИЦБ, в том числе:</w:t>
      </w:r>
    </w:p>
    <w:p w14:paraId="61FDB46D" w14:textId="77777777" w:rsidR="009E09A1" w:rsidRPr="009C3983" w:rsidRDefault="009E09A1" w:rsidP="00DB7AE7">
      <w:pPr>
        <w:pStyle w:val="af7"/>
        <w:numPr>
          <w:ilvl w:val="0"/>
          <w:numId w:val="28"/>
        </w:num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sz w:val="20"/>
          <w:szCs w:val="20"/>
        </w:rPr>
        <w:t xml:space="preserve">обеспеченные ипотекой требования о возврате основной суммы долга и (или) об уплате процентов по </w:t>
      </w:r>
      <w:r>
        <w:rPr>
          <w:rFonts w:ascii="Tahoma" w:eastAsia="Tahoma" w:hAnsi="Tahoma" w:cs="Tahoma"/>
          <w:sz w:val="20"/>
          <w:szCs w:val="20"/>
        </w:rPr>
        <w:t>к</w:t>
      </w:r>
      <w:r w:rsidRPr="009C3983">
        <w:rPr>
          <w:rFonts w:ascii="Tahoma" w:eastAsia="Tahoma" w:hAnsi="Tahoma" w:cs="Tahoma"/>
          <w:sz w:val="20"/>
          <w:szCs w:val="20"/>
        </w:rPr>
        <w:t>редитным договорам, удостоверенным Закладными,</w:t>
      </w:r>
    </w:p>
    <w:p w14:paraId="5CFF9C34" w14:textId="77777777" w:rsidR="009E09A1" w:rsidRPr="009C3983" w:rsidRDefault="009E09A1" w:rsidP="00DB7AE7">
      <w:pPr>
        <w:pStyle w:val="af7"/>
        <w:numPr>
          <w:ilvl w:val="0"/>
          <w:numId w:val="28"/>
        </w:num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sz w:val="20"/>
          <w:szCs w:val="20"/>
        </w:rPr>
        <w:t>денежные средства в валюте Российской Федерации,</w:t>
      </w:r>
    </w:p>
    <w:p w14:paraId="5518523A" w14:textId="77777777" w:rsidR="009E09A1" w:rsidRPr="009C3983" w:rsidRDefault="009E09A1" w:rsidP="00DB7AE7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sz w:val="20"/>
          <w:szCs w:val="20"/>
        </w:rPr>
        <w:t xml:space="preserve">в отношении которого </w:t>
      </w:r>
      <w:r>
        <w:rPr>
          <w:rFonts w:ascii="Tahoma" w:eastAsia="Tahoma" w:hAnsi="Tahoma" w:cs="Tahoma"/>
          <w:sz w:val="20"/>
          <w:szCs w:val="20"/>
        </w:rPr>
        <w:t>с</w:t>
      </w:r>
      <w:r w:rsidRPr="009C3983">
        <w:rPr>
          <w:rFonts w:ascii="Tahoma" w:eastAsia="Tahoma" w:hAnsi="Tahoma" w:cs="Tahoma"/>
          <w:sz w:val="20"/>
          <w:szCs w:val="20"/>
        </w:rPr>
        <w:t>пециализированный депозитарий осуществляет хранение, учет, контроль за распоряжением, а также иные функции, предусмотренные законодательством Российской Федерации.</w:t>
      </w:r>
    </w:p>
    <w:p w14:paraId="21176505" w14:textId="711B3754" w:rsidR="009E09A1" w:rsidRDefault="009E09A1" w:rsidP="00DB7AE7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ИЦБ</w:t>
      </w:r>
      <w:r w:rsidRPr="009C3983">
        <w:rPr>
          <w:rFonts w:ascii="Tahoma" w:eastAsia="Tahoma" w:hAnsi="Tahoma" w:cs="Tahoma"/>
          <w:sz w:val="20"/>
          <w:szCs w:val="20"/>
        </w:rPr>
        <w:t xml:space="preserve"> – облигации с ипотечным покрытием, выпускаемые в соответствии с требованиями Закона об ИЦБ и Закона о РЦБ, эмитентом по которым выступает кредитная организация.</w:t>
      </w:r>
    </w:p>
    <w:p w14:paraId="3C268D3A" w14:textId="10B3EC92" w:rsidR="00F17C00" w:rsidRDefault="00F17C00" w:rsidP="00DB7AE7">
      <w:pPr>
        <w:spacing w:after="240"/>
        <w:jc w:val="both"/>
        <w:rPr>
          <w:rFonts w:ascii="Tahoma" w:eastAsia="Tahoma" w:hAnsi="Tahoma" w:cs="Tahoma"/>
          <w:sz w:val="20"/>
          <w:szCs w:val="20"/>
        </w:rPr>
      </w:pPr>
      <w:r w:rsidRPr="00F17C00">
        <w:rPr>
          <w:rFonts w:ascii="Tahoma" w:eastAsia="Tahoma" w:hAnsi="Tahoma" w:cs="Tahoma"/>
          <w:b/>
          <w:sz w:val="20"/>
          <w:szCs w:val="20"/>
        </w:rPr>
        <w:t>Методика</w:t>
      </w:r>
      <w:r>
        <w:rPr>
          <w:rFonts w:ascii="Tahoma" w:eastAsia="Tahoma" w:hAnsi="Tahoma" w:cs="Tahoma"/>
          <w:sz w:val="20"/>
          <w:szCs w:val="20"/>
        </w:rPr>
        <w:t xml:space="preserve"> – настоящая Методика определения стоимости ипотечных ценных бумаг.</w:t>
      </w:r>
    </w:p>
    <w:p w14:paraId="198B4484" w14:textId="77777777" w:rsidR="009E09A1" w:rsidRDefault="009E09A1" w:rsidP="00DB7AE7">
      <w:pPr>
        <w:spacing w:after="240"/>
        <w:jc w:val="both"/>
        <w:rPr>
          <w:rFonts w:ascii="Tahoma" w:eastAsia="Tahoma" w:hAnsi="Tahoma" w:cs="Tahoma"/>
          <w:bCs/>
          <w:sz w:val="28"/>
          <w:szCs w:val="28"/>
        </w:rPr>
      </w:pPr>
      <w:r w:rsidRPr="0052251D">
        <w:rPr>
          <w:rFonts w:ascii="Tahoma" w:eastAsia="Tahoma" w:hAnsi="Tahoma" w:cs="Tahoma"/>
          <w:bCs/>
          <w:sz w:val="28"/>
          <w:szCs w:val="28"/>
        </w:rPr>
        <w:t>Определения</w:t>
      </w:r>
    </w:p>
    <w:p w14:paraId="0ED02B50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k</m:t>
            </m:r>
          </m:sup>
        </m:sSubSup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– </w:t>
      </w:r>
      <w:r w:rsidR="009E09A1">
        <w:rPr>
          <w:rFonts w:ascii="Tahoma" w:eastAsia="Times New Roman" w:hAnsi="Tahoma" w:cs="Tahoma"/>
          <w:sz w:val="20"/>
          <w:szCs w:val="20"/>
        </w:rPr>
        <w:t xml:space="preserve">непогашенная сумма основного долга у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9E09A1" w:rsidRPr="0052251D">
        <w:rPr>
          <w:rFonts w:ascii="Tahoma" w:eastAsia="Times New Roman" w:hAnsi="Tahoma" w:cs="Tahoma"/>
          <w:sz w:val="20"/>
          <w:szCs w:val="20"/>
        </w:rPr>
        <w:t>-</w:t>
      </w:r>
      <w:r w:rsidR="009E09A1">
        <w:rPr>
          <w:rFonts w:ascii="Tahoma" w:eastAsia="Times New Roman" w:hAnsi="Tahoma" w:cs="Tahoma"/>
          <w:sz w:val="20"/>
          <w:szCs w:val="20"/>
        </w:rPr>
        <w:t>й закладной на начало расчета в денежном выражении</w:t>
      </w:r>
      <w:r w:rsidR="009E09A1" w:rsidRPr="0052251D">
        <w:rPr>
          <w:rFonts w:ascii="Tahoma" w:eastAsia="Times New Roman" w:hAnsi="Tahoma" w:cs="Tahoma"/>
          <w:sz w:val="20"/>
          <w:szCs w:val="20"/>
        </w:rPr>
        <w:t>.</w:t>
      </w:r>
    </w:p>
    <w:p w14:paraId="631A47BE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>
        <w:rPr>
          <w:rFonts w:ascii="Tahoma" w:eastAsia="Times New Roman" w:hAnsi="Tahoma" w:cs="Tahoma"/>
          <w:sz w:val="20"/>
          <w:szCs w:val="20"/>
        </w:rPr>
        <w:t>–</w:t>
      </w:r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>
        <w:rPr>
          <w:rFonts w:ascii="Tahoma" w:eastAsia="Times New Roman" w:hAnsi="Tahoma" w:cs="Tahoma"/>
          <w:sz w:val="20"/>
          <w:szCs w:val="20"/>
        </w:rPr>
        <w:t xml:space="preserve">непогашенная сумма основного долга всех закладных, входящих в ипотечное покрытие, на начало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9E09A1" w:rsidRPr="0052251D">
        <w:rPr>
          <w:rFonts w:ascii="Tahoma" w:eastAsia="Times New Roman" w:hAnsi="Tahoma" w:cs="Tahoma"/>
          <w:sz w:val="20"/>
          <w:szCs w:val="20"/>
        </w:rPr>
        <w:t>-</w:t>
      </w:r>
      <w:r w:rsidR="009E09A1">
        <w:rPr>
          <w:rFonts w:ascii="Tahoma" w:eastAsia="Times New Roman" w:hAnsi="Tahoma" w:cs="Tahoma"/>
          <w:sz w:val="20"/>
          <w:szCs w:val="20"/>
        </w:rPr>
        <w:t>го месяца до даты расчета в денежном выражении.</w:t>
      </w:r>
    </w:p>
    <w:p w14:paraId="023F4042" w14:textId="32155C1F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207292">
        <w:rPr>
          <w:rFonts w:ascii="Tahoma" w:eastAsia="Times New Roman" w:hAnsi="Tahoma" w:cs="Tahoma"/>
          <w:sz w:val="20"/>
          <w:szCs w:val="20"/>
        </w:rPr>
        <w:t xml:space="preserve"> – сумма основного долга закладных, вышедших в дефолт </w:t>
      </w:r>
      <w:r w:rsidR="009E09A1" w:rsidRPr="002E329E">
        <w:rPr>
          <w:rFonts w:ascii="Tahoma" w:eastAsia="Times New Roman" w:hAnsi="Tahoma" w:cs="Tahoma"/>
          <w:sz w:val="20"/>
          <w:szCs w:val="20"/>
        </w:rPr>
        <w:t>и выкупленных оригинатором</w:t>
      </w:r>
      <w:r w:rsidR="002E329E">
        <w:rPr>
          <w:rFonts w:ascii="Tahoma" w:eastAsia="Times New Roman" w:hAnsi="Tahoma" w:cs="Tahoma"/>
          <w:sz w:val="20"/>
          <w:szCs w:val="20"/>
        </w:rPr>
        <w:t>,</w:t>
      </w:r>
      <w:r w:rsidR="009E09A1" w:rsidRPr="00207292">
        <w:rPr>
          <w:rFonts w:ascii="Tahoma" w:eastAsia="Times New Roman" w:hAnsi="Tahoma" w:cs="Tahoma"/>
          <w:sz w:val="20"/>
          <w:szCs w:val="20"/>
        </w:rPr>
        <w:t xml:space="preserve"> в течение периода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9E09A1" w:rsidRPr="00207292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ИЦБ.</w:t>
      </w:r>
    </w:p>
    <w:p w14:paraId="4F90DD99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9E09A1"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– сумма основного долга закладных в ипотечном покрытии, ставшая дефолтной в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9E09A1" w:rsidRPr="00FA5B1F">
        <w:rPr>
          <w:rFonts w:ascii="Tahoma" w:eastAsia="Times New Roman" w:hAnsi="Tahoma" w:cs="Tahoma"/>
          <w:sz w:val="20"/>
          <w:szCs w:val="20"/>
        </w:rPr>
        <w:t>-ом месяце до даты расчета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03920437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>– плановые процентные поступления по кредитам в расчете на одну ИЦБ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13B85CFE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–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22D439CB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9E09A1"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– плановое погашение основного долга закладных в ипотечном покрытии в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9E09A1" w:rsidRPr="00FA5B1F">
        <w:rPr>
          <w:rFonts w:ascii="Tahoma" w:eastAsia="Times New Roman" w:hAnsi="Tahoma" w:cs="Tahoma"/>
          <w:sz w:val="20"/>
          <w:szCs w:val="20"/>
        </w:rPr>
        <w:t>-ом месяце до даты расчета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42B9D918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– 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6ECA37F8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– досрочное погашение основного долга закладных в ипотечном покрытии в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9E09A1" w:rsidRPr="00FA5B1F">
        <w:rPr>
          <w:rFonts w:ascii="Tahoma" w:eastAsia="Times New Roman" w:hAnsi="Tahoma" w:cs="Tahoma"/>
          <w:sz w:val="20"/>
          <w:szCs w:val="20"/>
        </w:rPr>
        <w:t>-ом месяце до даты расчета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5ED22585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– величина переменных расходов для периода</w:t>
      </w:r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, выраженная в </w:t>
      </w:r>
      <w:r w:rsidR="009E09A1">
        <w:rPr>
          <w:rFonts w:ascii="Tahoma" w:eastAsia="Times New Roman" w:hAnsi="Tahoma" w:cs="Tahoma"/>
          <w:sz w:val="20"/>
          <w:szCs w:val="20"/>
        </w:rPr>
        <w:t>долях единицы.</w:t>
      </w:r>
    </w:p>
    <w:p w14:paraId="3EF6460B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PP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– плановое поступление на конец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i</m:t>
        </m:r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-го промежутка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9E09A1" w:rsidRPr="00FA5B1F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08E9EEF6" w14:textId="77777777" w:rsidR="009E09A1" w:rsidRPr="0052251D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 xml:space="preserve">– денежный поток по бумаге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FA5B1F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11811A7A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– </w:t>
      </w:r>
      <w:r w:rsidR="009E09A1">
        <w:rPr>
          <w:rFonts w:ascii="Tahoma" w:eastAsia="Times New Roman" w:hAnsi="Tahoma" w:cs="Tahoma"/>
          <w:sz w:val="20"/>
          <w:szCs w:val="20"/>
        </w:rPr>
        <w:t xml:space="preserve">процентные купонные платежи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>
        <w:rPr>
          <w:rFonts w:ascii="Tahoma" w:eastAsia="Times New Roman" w:hAnsi="Tahoma" w:cs="Tahoma"/>
          <w:sz w:val="20"/>
          <w:szCs w:val="20"/>
        </w:rPr>
        <w:t>в денежном выражении в расчете на одну ИЦБ.</w:t>
      </w:r>
    </w:p>
    <w:p w14:paraId="20E17C42" w14:textId="77777777" w:rsidR="009E09A1" w:rsidRPr="0052251D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Coupo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 xml:space="preserve">– ставка купона, соответствующая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i</m:t>
        </m:r>
      </m:oMath>
      <w:r w:rsidRPr="00FA5B1F">
        <w:rPr>
          <w:rFonts w:ascii="Tahoma" w:eastAsia="Times New Roman" w:hAnsi="Tahoma" w:cs="Tahoma"/>
          <w:sz w:val="20"/>
          <w:szCs w:val="20"/>
        </w:rPr>
        <w:t xml:space="preserve">-му периоду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FA5B1F">
        <w:rPr>
          <w:rFonts w:ascii="Tahoma" w:eastAsia="Times New Roman" w:hAnsi="Tahoma" w:cs="Tahoma"/>
          <w:sz w:val="20"/>
          <w:szCs w:val="20"/>
        </w:rPr>
        <w:t xml:space="preserve">, в </w:t>
      </w:r>
      <w:r>
        <w:rPr>
          <w:rFonts w:ascii="Tahoma" w:eastAsia="Times New Roman" w:hAnsi="Tahoma" w:cs="Tahoma"/>
          <w:sz w:val="20"/>
          <w:szCs w:val="20"/>
        </w:rPr>
        <w:t>долях единицы.</w:t>
      </w:r>
    </w:p>
    <w:p w14:paraId="0568C3D3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acc>
          <m:acc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CDR</m:t>
            </m:r>
          </m:e>
        </m:acc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– оценка годовой скорости наступления дефолта по кредиту, выраженная в </w:t>
      </w:r>
      <w:r w:rsidR="009E09A1">
        <w:rPr>
          <w:rFonts w:ascii="Tahoma" w:eastAsia="Times New Roman" w:hAnsi="Tahoma" w:cs="Tahoma"/>
          <w:sz w:val="20"/>
          <w:szCs w:val="20"/>
        </w:rPr>
        <w:t>долях единицы</w:t>
      </w:r>
      <w:r w:rsidR="009E09A1" w:rsidRPr="0052251D">
        <w:rPr>
          <w:rFonts w:ascii="Tahoma" w:eastAsia="Times New Roman" w:hAnsi="Tahoma" w:cs="Tahoma"/>
          <w:sz w:val="20"/>
          <w:szCs w:val="20"/>
        </w:rPr>
        <w:t>.</w:t>
      </w:r>
    </w:p>
    <w:p w14:paraId="1F2D32F2" w14:textId="7A96B77B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CD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FA5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–</w:t>
      </w:r>
      <w:r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 xml:space="preserve">оценка скорости выхода закладных в дефолт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FA5B1F">
        <w:rPr>
          <w:rFonts w:ascii="Tahoma" w:eastAsia="Times New Roman" w:hAnsi="Tahoma" w:cs="Tahoma"/>
          <w:sz w:val="20"/>
          <w:szCs w:val="20"/>
        </w:rPr>
        <w:t xml:space="preserve"> для купонного периода </w:t>
      </w:r>
      <w:r w:rsidRPr="00FA5B1F">
        <w:rPr>
          <w:rFonts w:ascii="Cambria Math" w:eastAsia="Times New Roman" w:hAnsi="Cambria Math" w:cs="Cambria Math"/>
          <w:sz w:val="20"/>
          <w:szCs w:val="20"/>
        </w:rPr>
        <w:t>𝑚</w:t>
      </w:r>
      <w:r w:rsidRPr="00FA5B1F">
        <w:rPr>
          <w:rFonts w:ascii="Tahoma" w:eastAsia="Times New Roman" w:hAnsi="Tahoma" w:cs="Tahoma"/>
          <w:sz w:val="20"/>
          <w:szCs w:val="20"/>
        </w:rPr>
        <w:t xml:space="preserve"> месяцев, выраженная в </w:t>
      </w:r>
      <w:r>
        <w:rPr>
          <w:rFonts w:ascii="Tahoma" w:eastAsia="Times New Roman" w:hAnsi="Tahoma" w:cs="Tahoma"/>
          <w:sz w:val="20"/>
          <w:szCs w:val="20"/>
        </w:rPr>
        <w:t>долях единицы.</w:t>
      </w:r>
    </w:p>
    <w:p w14:paraId="240837B8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acc>
          <m:acc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CPR</m:t>
            </m:r>
          </m:e>
        </m:acc>
      </m:oMath>
      <w:r w:rsidR="009E09A1"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>– оценка годовой скорости досрочного погашения, выраженная в</w:t>
      </w:r>
      <w:r w:rsidR="009E09A1">
        <w:rPr>
          <w:rFonts w:ascii="Tahoma" w:eastAsia="Times New Roman" w:hAnsi="Tahoma" w:cs="Tahoma"/>
          <w:sz w:val="20"/>
          <w:szCs w:val="20"/>
        </w:rPr>
        <w:t xml:space="preserve"> долях единицы</w:t>
      </w:r>
      <w:r w:rsidR="009E09A1" w:rsidRPr="00FA5B1F">
        <w:rPr>
          <w:rFonts w:ascii="Tahoma" w:eastAsia="Times New Roman" w:hAnsi="Tahoma" w:cs="Tahoma"/>
          <w:sz w:val="20"/>
          <w:szCs w:val="20"/>
        </w:rPr>
        <w:t>, для закладных, входящих в ипотечное покрытие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6A4E6475" w14:textId="77777777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CP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 xml:space="preserve">– скорость досрочного погашения закладных, входящих в ипотечное покрытие,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 xml:space="preserve">для купонного периода </w:t>
      </w:r>
      <w:r w:rsidRPr="00FA5B1F">
        <w:rPr>
          <w:rFonts w:ascii="Cambria Math" w:eastAsia="Times New Roman" w:hAnsi="Cambria Math" w:cs="Cambria Math"/>
          <w:sz w:val="20"/>
          <w:szCs w:val="20"/>
        </w:rPr>
        <w:t>𝑚</w:t>
      </w:r>
      <w:r w:rsidRPr="00FA5B1F">
        <w:rPr>
          <w:rFonts w:ascii="Tahoma" w:eastAsia="Times New Roman" w:hAnsi="Tahoma" w:cs="Tahoma"/>
          <w:sz w:val="20"/>
          <w:szCs w:val="20"/>
        </w:rPr>
        <w:t xml:space="preserve"> месяцев, выраженная в </w:t>
      </w:r>
      <w:r>
        <w:rPr>
          <w:rFonts w:ascii="Tahoma" w:eastAsia="Times New Roman" w:hAnsi="Tahoma" w:cs="Tahoma"/>
          <w:sz w:val="20"/>
          <w:szCs w:val="20"/>
        </w:rPr>
        <w:t>долях единицы.</w:t>
      </w:r>
    </w:p>
    <w:p w14:paraId="5C70DBCE" w14:textId="77777777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SMM</m:t>
        </m:r>
      </m:oMath>
      <w:r w:rsidRPr="009C3983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 xml:space="preserve">– доля досрочного погашения закладных в месяц, выраженная в </w:t>
      </w:r>
      <w:r>
        <w:rPr>
          <w:rFonts w:ascii="Tahoma" w:eastAsia="Times New Roman" w:hAnsi="Tahoma" w:cs="Tahoma"/>
          <w:sz w:val="20"/>
          <w:szCs w:val="20"/>
        </w:rPr>
        <w:t>долях единицы.</w:t>
      </w:r>
    </w:p>
    <w:p w14:paraId="70AD5EFA" w14:textId="6EDE72F4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 xml:space="preserve">CleanUp </m:t>
        </m:r>
      </m:oMath>
      <w:r w:rsidRPr="00FA5B1F">
        <w:rPr>
          <w:rFonts w:ascii="Tahoma" w:eastAsia="Times New Roman" w:hAnsi="Tahoma" w:cs="Tahoma"/>
          <w:sz w:val="20"/>
          <w:szCs w:val="20"/>
        </w:rPr>
        <w:t>– процент от первоначальной номинальной стоимости ИЦБ</w:t>
      </w:r>
      <w:r w:rsidRPr="0052251D">
        <w:rPr>
          <w:rFonts w:ascii="Cambria Math" w:eastAsia="Times New Roman" w:hAnsi="Cambria Math" w:cs="Cambria Math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 w:cs="Cambria Math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init</m:t>
            </m:r>
          </m:sub>
        </m:sSub>
      </m:oMath>
      <w:r w:rsidRPr="00FA5B1F">
        <w:rPr>
          <w:rFonts w:ascii="Tahoma" w:eastAsia="Times New Roman" w:hAnsi="Tahoma" w:cs="Tahoma"/>
          <w:sz w:val="20"/>
          <w:szCs w:val="20"/>
        </w:rPr>
        <w:t>, при достижении которого выпуск может быть полностью погашен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4621814D" w14:textId="77777777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Pr="00FA5B1F">
        <w:rPr>
          <w:rFonts w:ascii="Tahoma" w:eastAsia="Times New Roman" w:hAnsi="Tahoma" w:cs="Tahoma"/>
          <w:sz w:val="20"/>
          <w:szCs w:val="20"/>
        </w:rPr>
        <w:t xml:space="preserve"> – количество закладных в ипотечном покрытии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0E6A30C8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k</m:t>
            </m:r>
          </m:sup>
        </m:sSubSup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– оставшийся контрактный срок у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9E09A1" w:rsidRPr="00FA5B1F">
        <w:rPr>
          <w:rFonts w:ascii="Tahoma" w:eastAsia="Times New Roman" w:hAnsi="Tahoma" w:cs="Tahoma"/>
          <w:sz w:val="20"/>
          <w:szCs w:val="20"/>
        </w:rPr>
        <w:t>-ой закладной на начало расчета, выраженный в месяцах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1ADE18EA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– купонный период по ИЦБ, выраженный в месяцах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556E7B95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– оставшееся количество купонных периодов до конца договора, рассчитанное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9E09A1" w:rsidRPr="00D2529C">
        <w:rPr>
          <w:rFonts w:ascii="Tahoma" w:eastAsia="Times New Roman" w:hAnsi="Tahoma" w:cs="Tahoma"/>
          <w:sz w:val="20"/>
          <w:szCs w:val="20"/>
        </w:rPr>
        <w:t>.</w:t>
      </w:r>
    </w:p>
    <w:p w14:paraId="0A87F446" w14:textId="77777777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 xml:space="preserve">–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Pr="00FA5B1F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Pr="00FA5B1F">
        <w:rPr>
          <w:rFonts w:ascii="Tahoma" w:eastAsia="Times New Roman" w:hAnsi="Tahoma" w:cs="Tahoma"/>
          <w:sz w:val="20"/>
          <w:szCs w:val="20"/>
        </w:rPr>
        <w:t>(совпадает с номинальной стоимостью на конец предыдущего периода)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1CB2DF8C" w14:textId="77777777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m:t>init</m:t>
            </m:r>
          </m:sub>
        </m:sSub>
      </m:oMath>
      <w:r w:rsidRPr="00E72B89">
        <w:rPr>
          <w:rFonts w:ascii="Tahoma" w:eastAsia="Times New Roman" w:hAnsi="Tahoma" w:cs="Tahoma"/>
          <w:sz w:val="20"/>
          <w:szCs w:val="20"/>
        </w:rPr>
        <w:t xml:space="preserve"> –</w:t>
      </w:r>
      <w:r w:rsidRPr="00FA5B1F">
        <w:rPr>
          <w:rFonts w:ascii="Tahoma" w:eastAsia="Times New Roman" w:hAnsi="Tahoma" w:cs="Tahoma"/>
          <w:sz w:val="20"/>
          <w:szCs w:val="20"/>
        </w:rPr>
        <w:t xml:space="preserve"> первоначальная номинальная стоимость ИЦБ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1536C797" w14:textId="77777777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PoolNo</m:t>
        </m:r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i-1</m:t>
            </m:r>
          </m:sub>
        </m:sSub>
      </m:oMath>
      <w:r w:rsidRPr="00FA5B1F">
        <w:rPr>
          <w:rFonts w:ascii="Tahoma" w:eastAsia="Times New Roman" w:hAnsi="Tahoma" w:cs="Tahoma"/>
          <w:sz w:val="20"/>
          <w:szCs w:val="20"/>
        </w:rPr>
        <w:t xml:space="preserve"> – оставшаяся сумма основного долга закладных, входящих в ипотечное покрытие, на начало расчетного периода, соответствующего купонному периоду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FA5B1F">
        <w:rPr>
          <w:rFonts w:ascii="Tahoma" w:eastAsia="Times New Roman" w:hAnsi="Tahoma" w:cs="Tahoma"/>
          <w:sz w:val="20"/>
          <w:szCs w:val="20"/>
        </w:rPr>
        <w:t>, в денежном выражении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7193BB80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– ставка процента на период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, рассчитанная на основе </w:t>
      </w:r>
      <m:oMath>
        <m:r>
          <w:rPr>
            <w:rFonts w:ascii="Cambria Math" w:eastAsia="Times New Roman" w:hAnsi="Cambria Math" w:cs="Cambria Math"/>
            <w:sz w:val="20"/>
            <w:szCs w:val="20"/>
          </w:rPr>
          <m:t>WAC</m:t>
        </m:r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>ставки для закладных и выраженная в</w:t>
      </w:r>
      <w:r w:rsidR="009E09A1">
        <w:rPr>
          <w:rFonts w:ascii="Tahoma" w:eastAsia="Times New Roman" w:hAnsi="Tahoma" w:cs="Tahoma"/>
          <w:sz w:val="20"/>
          <w:szCs w:val="20"/>
        </w:rPr>
        <w:t xml:space="preserve"> долях единицы.</w:t>
      </w:r>
    </w:p>
    <w:p w14:paraId="4B8D20ED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="Times New Roman" w:hAnsi="Cambria Math" w:cs="Cambria Math"/>
                <w:sz w:val="20"/>
                <w:szCs w:val="20"/>
              </w:rPr>
              <m:t>k</m:t>
            </m:r>
          </m:sup>
        </m:sSubSup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– ставка кредита у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9E09A1" w:rsidRPr="00FA5B1F">
        <w:rPr>
          <w:rFonts w:ascii="Tahoma" w:eastAsia="Times New Roman" w:hAnsi="Tahoma" w:cs="Tahoma"/>
          <w:sz w:val="20"/>
          <w:szCs w:val="20"/>
        </w:rPr>
        <w:t>-ой закладной на начало расчета</w:t>
      </w:r>
      <w:r w:rsidR="009E09A1">
        <w:rPr>
          <w:rFonts w:ascii="Tahoma" w:eastAsia="Times New Roman" w:hAnsi="Tahoma" w:cs="Tahoma"/>
          <w:sz w:val="20"/>
          <w:szCs w:val="20"/>
        </w:rPr>
        <w:t xml:space="preserve"> в годовом начислении</w:t>
      </w:r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, выраженная в </w:t>
      </w:r>
      <w:r w:rsidR="009E09A1">
        <w:rPr>
          <w:rFonts w:ascii="Tahoma" w:eastAsia="Times New Roman" w:hAnsi="Tahoma" w:cs="Tahoma"/>
          <w:sz w:val="20"/>
          <w:szCs w:val="20"/>
        </w:rPr>
        <w:t>долях единицы.</w:t>
      </w:r>
    </w:p>
    <w:p w14:paraId="0034EEA8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 w:rsidRPr="00FA5B1F">
        <w:rPr>
          <w:rFonts w:ascii="Tahoma" w:eastAsia="Times New Roman" w:hAnsi="Tahoma" w:cs="Tahoma"/>
          <w:sz w:val="20"/>
          <w:szCs w:val="20"/>
        </w:rPr>
        <w:t xml:space="preserve"> – количество бумаг в обращении в момент выплаты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09B44C3F" w14:textId="77777777" w:rsidR="009E09A1" w:rsidRDefault="007C03BE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p</m:t>
            </m:r>
          </m:sub>
        </m:sSub>
      </m:oMath>
      <w:r w:rsidR="009E09A1" w:rsidRPr="0052251D">
        <w:rPr>
          <w:rFonts w:ascii="Tahoma" w:eastAsia="Times New Roman" w:hAnsi="Tahoma" w:cs="Tahoma"/>
          <w:sz w:val="20"/>
          <w:szCs w:val="20"/>
        </w:rPr>
        <w:t xml:space="preserve"> </w:t>
      </w:r>
      <w:r w:rsidR="009E09A1" w:rsidRPr="00FA5B1F">
        <w:rPr>
          <w:rFonts w:ascii="Tahoma" w:eastAsia="Times New Roman" w:hAnsi="Tahoma" w:cs="Tahoma"/>
          <w:sz w:val="20"/>
          <w:szCs w:val="20"/>
        </w:rPr>
        <w:t>– дата расчета</w:t>
      </w:r>
      <w:r w:rsidR="009E09A1">
        <w:rPr>
          <w:rFonts w:ascii="Tahoma" w:eastAsia="Times New Roman" w:hAnsi="Tahoma" w:cs="Tahoma"/>
          <w:sz w:val="20"/>
          <w:szCs w:val="20"/>
        </w:rPr>
        <w:t>.</w:t>
      </w:r>
    </w:p>
    <w:p w14:paraId="64DDBC9E" w14:textId="77777777" w:rsidR="009E09A1" w:rsidRDefault="009E09A1" w:rsidP="00DB7AE7">
      <w:pPr>
        <w:spacing w:after="240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WAC</m:t>
        </m:r>
      </m:oMath>
      <w:r w:rsidRPr="00FA5B1F">
        <w:rPr>
          <w:rFonts w:ascii="Tahoma" w:eastAsia="Times New Roman" w:hAnsi="Tahoma" w:cs="Tahoma"/>
          <w:sz w:val="20"/>
          <w:szCs w:val="20"/>
        </w:rPr>
        <w:t xml:space="preserve"> – взвешенная по сумме основного долга ставка по всем закладным в ипотечном покрытии</w:t>
      </w:r>
      <w:r>
        <w:rPr>
          <w:rFonts w:ascii="Tahoma" w:eastAsia="Times New Roman" w:hAnsi="Tahoma" w:cs="Tahoma"/>
          <w:sz w:val="20"/>
          <w:szCs w:val="20"/>
        </w:rPr>
        <w:t xml:space="preserve"> в годовом начислении</w:t>
      </w:r>
      <w:r w:rsidRPr="00FA5B1F">
        <w:rPr>
          <w:rFonts w:ascii="Tahoma" w:eastAsia="Times New Roman" w:hAnsi="Tahoma" w:cs="Tahoma"/>
          <w:sz w:val="20"/>
          <w:szCs w:val="20"/>
        </w:rPr>
        <w:t xml:space="preserve">, выраженная в </w:t>
      </w:r>
      <w:r>
        <w:rPr>
          <w:rFonts w:ascii="Tahoma" w:eastAsia="Times New Roman" w:hAnsi="Tahoma" w:cs="Tahoma"/>
          <w:sz w:val="20"/>
          <w:szCs w:val="20"/>
        </w:rPr>
        <w:t>долях единицы.</w:t>
      </w:r>
    </w:p>
    <w:p w14:paraId="2999D64D" w14:textId="77777777" w:rsidR="009E09A1" w:rsidRPr="0052251D" w:rsidRDefault="009E09A1" w:rsidP="00DB7AE7">
      <w:pPr>
        <w:spacing w:after="240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WAM</m:t>
        </m:r>
      </m:oMath>
      <w:r w:rsidRPr="00FA5B1F">
        <w:rPr>
          <w:rFonts w:ascii="Tahoma" w:eastAsia="Times New Roman" w:hAnsi="Tahoma" w:cs="Tahoma"/>
          <w:sz w:val="20"/>
          <w:szCs w:val="20"/>
        </w:rPr>
        <w:t xml:space="preserve"> – взвешенный по сумме основного долга плановый срок до погашения всех закладных в ипотечном покрытии, выраженный в месяцах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0DBF1B85" w14:textId="77777777" w:rsidR="009E09A1" w:rsidRPr="007779C8" w:rsidRDefault="009E09A1" w:rsidP="009E09A1">
      <w:pPr>
        <w:pStyle w:val="2"/>
      </w:pPr>
      <w:r w:rsidRPr="007779C8">
        <w:t>Общие положения</w:t>
      </w:r>
    </w:p>
    <w:p w14:paraId="778F8518" w14:textId="4733F061" w:rsidR="009E09A1" w:rsidRPr="00BE5E2F" w:rsidRDefault="009E09A1" w:rsidP="00DB7AE7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jc w:val="both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>Настоящая Методика устанавливает количественный способ определения индикативного значения стоимости ИЦБ и является дополнением к основной Методике определения стоимости рублевых облигаций</w:t>
      </w:r>
      <w:r w:rsidRPr="00BE5E2F">
        <w:rPr>
          <w:rStyle w:val="a8"/>
          <w:rFonts w:eastAsia="Times New Roman" w:cs="Tahoma"/>
          <w:sz w:val="20"/>
          <w:szCs w:val="24"/>
        </w:rPr>
        <w:footnoteReference w:id="1"/>
      </w:r>
      <w:r w:rsidRPr="00BE5E2F">
        <w:rPr>
          <w:rFonts w:ascii="Tahoma" w:eastAsia="Times New Roman" w:hAnsi="Tahoma" w:cs="Tahoma"/>
          <w:sz w:val="20"/>
          <w:szCs w:val="24"/>
        </w:rPr>
        <w:t xml:space="preserve">. Данная </w:t>
      </w:r>
      <w:r w:rsidR="00F17C00">
        <w:rPr>
          <w:rFonts w:ascii="Tahoma" w:eastAsia="Times New Roman" w:hAnsi="Tahoma" w:cs="Tahoma"/>
          <w:sz w:val="20"/>
          <w:szCs w:val="24"/>
        </w:rPr>
        <w:t>М</w:t>
      </w:r>
      <w:r w:rsidRPr="00BE5E2F">
        <w:rPr>
          <w:rFonts w:ascii="Tahoma" w:eastAsia="Times New Roman" w:hAnsi="Tahoma" w:cs="Tahoma"/>
          <w:sz w:val="20"/>
          <w:szCs w:val="24"/>
        </w:rPr>
        <w:t xml:space="preserve">етодика имеет ряд ограничений, ее некритическое использование может приводить к некорректным, как правило, недооцененным значениям показателей потенциальных потерь портфеля ценных бумаг. </w:t>
      </w:r>
    </w:p>
    <w:p w14:paraId="57F1EA5F" w14:textId="237A119D" w:rsidR="009E09A1" w:rsidRPr="00BE5E2F" w:rsidRDefault="009E09A1" w:rsidP="00DB7AE7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jc w:val="both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 xml:space="preserve">Данная </w:t>
      </w:r>
      <w:r w:rsidR="00C36B8B">
        <w:rPr>
          <w:rFonts w:ascii="Tahoma" w:eastAsia="Times New Roman" w:hAnsi="Tahoma" w:cs="Tahoma"/>
          <w:sz w:val="20"/>
          <w:szCs w:val="24"/>
        </w:rPr>
        <w:t>М</w:t>
      </w:r>
      <w:r w:rsidRPr="00BE5E2F">
        <w:rPr>
          <w:rFonts w:ascii="Tahoma" w:eastAsia="Times New Roman" w:hAnsi="Tahoma" w:cs="Tahoma"/>
          <w:sz w:val="20"/>
          <w:szCs w:val="24"/>
        </w:rPr>
        <w:t>етодика применяется для оценки стоимости старших траншей</w:t>
      </w:r>
      <w:r w:rsidRPr="0052251D">
        <w:rPr>
          <w:rFonts w:ascii="Tahoma" w:eastAsia="Times New Roman" w:hAnsi="Tahoma" w:cs="Tahoma"/>
          <w:sz w:val="20"/>
          <w:szCs w:val="24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val="en-US"/>
        </w:rPr>
        <w:t>c</w:t>
      </w:r>
      <w:r w:rsidRPr="0052251D">
        <w:rPr>
          <w:rFonts w:ascii="Tahoma" w:eastAsia="Times New Roman" w:hAnsi="Tahoma" w:cs="Tahoma"/>
          <w:sz w:val="20"/>
          <w:szCs w:val="24"/>
        </w:rPr>
        <w:t xml:space="preserve"> </w:t>
      </w:r>
      <w:r>
        <w:rPr>
          <w:rFonts w:ascii="Tahoma" w:eastAsia="Times New Roman" w:hAnsi="Tahoma" w:cs="Tahoma"/>
          <w:sz w:val="20"/>
          <w:szCs w:val="24"/>
        </w:rPr>
        <w:t xml:space="preserve">фиксированной ставкой купона </w:t>
      </w:r>
      <w:r w:rsidRPr="00BE5E2F">
        <w:rPr>
          <w:rFonts w:ascii="Tahoma" w:eastAsia="Times New Roman" w:hAnsi="Tahoma" w:cs="Tahoma"/>
          <w:sz w:val="20"/>
          <w:szCs w:val="24"/>
        </w:rPr>
        <w:t>или однотраншевых выпусков</w:t>
      </w:r>
      <w:r>
        <w:rPr>
          <w:rFonts w:ascii="Tahoma" w:eastAsia="Times New Roman" w:hAnsi="Tahoma" w:cs="Tahoma"/>
          <w:sz w:val="20"/>
          <w:szCs w:val="24"/>
        </w:rPr>
        <w:t xml:space="preserve"> с поручительством сквозного типа с фиксированной или плавающей ставкой купона</w:t>
      </w:r>
      <w:r w:rsidRPr="00BE5E2F">
        <w:rPr>
          <w:rFonts w:ascii="Tahoma" w:eastAsia="Times New Roman" w:hAnsi="Tahoma" w:cs="Tahoma"/>
          <w:sz w:val="20"/>
          <w:szCs w:val="24"/>
        </w:rPr>
        <w:t xml:space="preserve"> ипотечных облигаций, выпускаемых </w:t>
      </w:r>
      <w:r w:rsidRPr="00BE5E2F">
        <w:rPr>
          <w:rFonts w:ascii="Tahoma" w:eastAsia="Times New Roman" w:hAnsi="Tahoma" w:cs="Tahoma"/>
          <w:sz w:val="20"/>
          <w:szCs w:val="24"/>
          <w:lang w:val="en-US"/>
        </w:rPr>
        <w:t>SPV</w:t>
      </w:r>
      <w:r w:rsidRPr="00BE5E2F">
        <w:rPr>
          <w:rFonts w:ascii="Tahoma" w:eastAsia="Times New Roman" w:hAnsi="Tahoma" w:cs="Tahoma"/>
          <w:sz w:val="20"/>
          <w:szCs w:val="24"/>
        </w:rPr>
        <w:t xml:space="preserve">, пул ипотечного покрытия по которым является закрытым (не допускается замена обеспечения или добавление обеспечения в уже сформированный пул, за исключением случаев, предусмотренный статьей 14 </w:t>
      </w:r>
      <w:r w:rsidR="00C36B8B">
        <w:rPr>
          <w:rFonts w:ascii="Tahoma" w:eastAsia="Times New Roman" w:hAnsi="Tahoma" w:cs="Tahoma"/>
          <w:sz w:val="20"/>
          <w:szCs w:val="24"/>
        </w:rPr>
        <w:t>Закона об ИЦБ</w:t>
      </w:r>
      <w:r w:rsidRPr="00BE5E2F">
        <w:rPr>
          <w:rFonts w:ascii="Tahoma" w:eastAsia="Times New Roman" w:hAnsi="Tahoma" w:cs="Tahoma"/>
          <w:sz w:val="20"/>
          <w:szCs w:val="24"/>
        </w:rPr>
        <w:t xml:space="preserve"> и </w:t>
      </w:r>
      <w:r w:rsidRPr="00BE5E2F">
        <w:rPr>
          <w:rFonts w:ascii="Tahoma" w:hAnsi="Tahoma" w:cs="Tahoma"/>
          <w:sz w:val="20"/>
          <w:szCs w:val="24"/>
        </w:rPr>
        <w:t>эмиссии (</w:t>
      </w:r>
      <w:r w:rsidR="00C1303E">
        <w:rPr>
          <w:rFonts w:ascii="Tahoma" w:hAnsi="Tahoma" w:cs="Tahoma"/>
          <w:sz w:val="20"/>
          <w:szCs w:val="24"/>
        </w:rPr>
        <w:t xml:space="preserve">пункт </w:t>
      </w:r>
      <w:r w:rsidR="00C1303E" w:rsidRPr="00C1303E">
        <w:rPr>
          <w:rFonts w:ascii="Tahoma" w:hAnsi="Tahoma" w:cs="Tahoma"/>
          <w:sz w:val="20"/>
          <w:szCs w:val="24"/>
        </w:rPr>
        <w:t>7.3.2.3.</w:t>
      </w:r>
      <w:r w:rsidR="00C1303E">
        <w:rPr>
          <w:rFonts w:ascii="Tahoma" w:hAnsi="Tahoma" w:cs="Tahoma"/>
          <w:sz w:val="20"/>
          <w:szCs w:val="24"/>
        </w:rPr>
        <w:t xml:space="preserve"> приложения 11 к </w:t>
      </w:r>
      <w:r w:rsidR="00C1303E" w:rsidRPr="00C1303E">
        <w:rPr>
          <w:rFonts w:ascii="Tahoma" w:hAnsi="Tahoma" w:cs="Tahoma"/>
          <w:sz w:val="20"/>
          <w:szCs w:val="24"/>
        </w:rPr>
        <w:t>Положени</w:t>
      </w:r>
      <w:r w:rsidR="00C1303E">
        <w:rPr>
          <w:rFonts w:ascii="Tahoma" w:hAnsi="Tahoma" w:cs="Tahoma"/>
          <w:sz w:val="20"/>
          <w:szCs w:val="24"/>
        </w:rPr>
        <w:t>ю</w:t>
      </w:r>
      <w:r w:rsidR="00C1303E" w:rsidRPr="00C1303E">
        <w:rPr>
          <w:rFonts w:ascii="Tahoma" w:hAnsi="Tahoma" w:cs="Tahoma"/>
          <w:sz w:val="20"/>
          <w:szCs w:val="24"/>
        </w:rPr>
        <w:t xml:space="preserve"> Банка России от 19.12.2019 </w:t>
      </w:r>
      <w:r w:rsidR="00C1303E">
        <w:rPr>
          <w:rFonts w:ascii="Tahoma" w:hAnsi="Tahoma" w:cs="Tahoma"/>
          <w:sz w:val="20"/>
          <w:szCs w:val="24"/>
        </w:rPr>
        <w:t>№</w:t>
      </w:r>
      <w:r w:rsidR="00C1303E" w:rsidRPr="00C1303E">
        <w:rPr>
          <w:rFonts w:ascii="Tahoma" w:hAnsi="Tahoma" w:cs="Tahoma"/>
          <w:sz w:val="20"/>
          <w:szCs w:val="24"/>
        </w:rPr>
        <w:t xml:space="preserve"> 706-П </w:t>
      </w:r>
      <w:r w:rsidR="00C1303E">
        <w:rPr>
          <w:rFonts w:ascii="Tahoma" w:hAnsi="Tahoma" w:cs="Tahoma"/>
          <w:sz w:val="20"/>
          <w:szCs w:val="24"/>
        </w:rPr>
        <w:t>«</w:t>
      </w:r>
      <w:r w:rsidR="00C1303E" w:rsidRPr="00C1303E">
        <w:rPr>
          <w:rFonts w:ascii="Tahoma" w:hAnsi="Tahoma" w:cs="Tahoma"/>
          <w:sz w:val="20"/>
          <w:szCs w:val="24"/>
        </w:rPr>
        <w:t>О стандартах эмиссии ценных бумаг</w:t>
      </w:r>
      <w:r w:rsidR="00C1303E">
        <w:rPr>
          <w:rFonts w:ascii="Tahoma" w:hAnsi="Tahoma" w:cs="Tahoma"/>
          <w:sz w:val="20"/>
          <w:szCs w:val="24"/>
        </w:rPr>
        <w:t>»</w:t>
      </w:r>
      <w:r w:rsidRPr="00BE5E2F">
        <w:rPr>
          <w:rFonts w:ascii="Tahoma" w:eastAsia="Times New Roman" w:hAnsi="Tahoma" w:cs="Tahoma"/>
          <w:sz w:val="20"/>
          <w:szCs w:val="24"/>
        </w:rPr>
        <w:t>). Под обеспечением ИЦБ понимаются обеспеченные ипотекой требования о возврате основной суммы долга и (или) об уплате процентов по кредитным договорам и договорам займа, в том числе удостоверенные закладными. Методика не предназначена для определения справедливой стоимости ипотечных сертификатов участия.</w:t>
      </w:r>
    </w:p>
    <w:p w14:paraId="76B913B4" w14:textId="05A7E073" w:rsidR="009E09A1" w:rsidRPr="00BE5E2F" w:rsidRDefault="009E09A1" w:rsidP="00DB7AE7">
      <w:pPr>
        <w:pStyle w:val="af7"/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contextualSpacing w:val="0"/>
        <w:jc w:val="both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>Настоящ</w:t>
      </w:r>
      <w:r w:rsidR="00D87DE8">
        <w:rPr>
          <w:rFonts w:ascii="Tahoma" w:eastAsia="Times New Roman" w:hAnsi="Tahoma" w:cs="Tahoma"/>
          <w:sz w:val="20"/>
          <w:szCs w:val="24"/>
        </w:rPr>
        <w:t>ая</w:t>
      </w:r>
      <w:r w:rsidRPr="00BE5E2F">
        <w:rPr>
          <w:rFonts w:ascii="Tahoma" w:eastAsia="Times New Roman" w:hAnsi="Tahoma" w:cs="Tahoma"/>
          <w:sz w:val="20"/>
          <w:szCs w:val="24"/>
        </w:rPr>
        <w:t xml:space="preserve"> </w:t>
      </w:r>
      <w:r w:rsidR="00D87DE8">
        <w:rPr>
          <w:rFonts w:ascii="Tahoma" w:eastAsia="Times New Roman" w:hAnsi="Tahoma" w:cs="Tahoma"/>
          <w:sz w:val="20"/>
          <w:szCs w:val="24"/>
        </w:rPr>
        <w:t>Методика</w:t>
      </w:r>
      <w:r w:rsidR="00D87DE8" w:rsidRPr="00BE5E2F"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 xml:space="preserve">содержит описание алгоритма моделирования прогнозных денежных потоков, учитывающих специфику облигаций с ипотечным покрытием и используемых в расчетах доходностей, </w:t>
      </w:r>
      <w:r w:rsidRPr="00BE5E2F">
        <w:rPr>
          <w:rFonts w:ascii="Tahoma" w:eastAsia="Times New Roman" w:hAnsi="Tahoma" w:cs="Tahoma"/>
          <w:sz w:val="20"/>
          <w:szCs w:val="24"/>
          <w:lang w:val="en-US"/>
        </w:rPr>
        <w:t>z</w:t>
      </w:r>
      <w:r w:rsidRPr="00BE5E2F">
        <w:rPr>
          <w:rFonts w:ascii="Tahoma" w:eastAsia="Times New Roman" w:hAnsi="Tahoma" w:cs="Tahoma"/>
          <w:sz w:val="20"/>
          <w:szCs w:val="24"/>
        </w:rPr>
        <w:t xml:space="preserve">-спрэдов, </w:t>
      </w:r>
      <w:r w:rsidRPr="00BE5E2F">
        <w:rPr>
          <w:rFonts w:ascii="Tahoma" w:eastAsia="Times New Roman" w:hAnsi="Tahoma" w:cs="Tahoma"/>
          <w:sz w:val="20"/>
          <w:szCs w:val="24"/>
          <w:lang w:val="en-US"/>
        </w:rPr>
        <w:t>i</w:t>
      </w:r>
      <w:r w:rsidRPr="00BE5E2F">
        <w:rPr>
          <w:rFonts w:ascii="Tahoma" w:eastAsia="Times New Roman" w:hAnsi="Tahoma" w:cs="Tahoma"/>
          <w:sz w:val="20"/>
          <w:szCs w:val="24"/>
        </w:rPr>
        <w:t xml:space="preserve">-спрэдов и цены ИЦБ. </w:t>
      </w:r>
    </w:p>
    <w:p w14:paraId="3535CE63" w14:textId="145A4178" w:rsidR="009E09A1" w:rsidRPr="00BE5E2F" w:rsidRDefault="009E09A1" w:rsidP="00DB7AE7">
      <w:pPr>
        <w:pStyle w:val="af7"/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contextualSpacing w:val="0"/>
        <w:jc w:val="both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 xml:space="preserve">Общий порядок расчета стоимости ИЦБ аналогичен порядку расчета прочих рублевых инструментов с фиксированной доходностью при учете особенностей прогнозирования денежных потоков, и описан в основной </w:t>
      </w:r>
      <w:r w:rsidR="00D87DE8">
        <w:rPr>
          <w:rFonts w:ascii="Tahoma" w:eastAsia="Times New Roman" w:hAnsi="Tahoma" w:cs="Tahoma"/>
          <w:sz w:val="20"/>
          <w:szCs w:val="24"/>
        </w:rPr>
        <w:t>М</w:t>
      </w:r>
      <w:r w:rsidRPr="00BE5E2F">
        <w:rPr>
          <w:rFonts w:ascii="Tahoma" w:eastAsia="Times New Roman" w:hAnsi="Tahoma" w:cs="Tahoma"/>
          <w:sz w:val="20"/>
          <w:szCs w:val="24"/>
        </w:rPr>
        <w:t>етодике расчета</w:t>
      </w:r>
      <w:r>
        <w:rPr>
          <w:rFonts w:ascii="Tahoma" w:eastAsia="Times New Roman" w:hAnsi="Tahoma" w:cs="Tahoma"/>
          <w:sz w:val="20"/>
          <w:szCs w:val="24"/>
        </w:rPr>
        <w:t xml:space="preserve"> стоимости рублевых облигаций.</w:t>
      </w:r>
    </w:p>
    <w:p w14:paraId="6C3B7850" w14:textId="77777777" w:rsidR="009E09A1" w:rsidRPr="00BE5E2F" w:rsidRDefault="009E09A1" w:rsidP="00DB7AE7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jc w:val="both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>Методика предполагает наличие следующего допущения: текущая ставка досрочного погашения по выпуску ценных бумаг (</w:t>
      </w:r>
      <w:r w:rsidRPr="00BE5E2F">
        <w:rPr>
          <w:rFonts w:ascii="Tahoma" w:eastAsia="Times New Roman" w:hAnsi="Tahoma" w:cs="Tahoma"/>
          <w:sz w:val="20"/>
          <w:szCs w:val="24"/>
          <w:lang w:val="en-US"/>
        </w:rPr>
        <w:t>CPR</w:t>
      </w:r>
      <w:r w:rsidRPr="00BE5E2F">
        <w:rPr>
          <w:rFonts w:ascii="Tahoma" w:eastAsia="Times New Roman" w:hAnsi="Tahoma" w:cs="Tahoma"/>
          <w:sz w:val="20"/>
          <w:szCs w:val="24"/>
        </w:rPr>
        <w:t>)</w:t>
      </w:r>
      <w:r>
        <w:rPr>
          <w:rFonts w:ascii="Tahoma" w:eastAsia="Times New Roman" w:hAnsi="Tahoma" w:cs="Tahoma"/>
          <w:sz w:val="20"/>
          <w:szCs w:val="24"/>
        </w:rPr>
        <w:t xml:space="preserve"> и текущая ставка выхода закладных в дефолт (</w:t>
      </w:r>
      <w:r>
        <w:rPr>
          <w:rFonts w:ascii="Tahoma" w:eastAsia="Times New Roman" w:hAnsi="Tahoma" w:cs="Tahoma"/>
          <w:sz w:val="20"/>
          <w:szCs w:val="24"/>
          <w:lang w:val="en-US"/>
        </w:rPr>
        <w:t>CDR</w:t>
      </w:r>
      <w:r w:rsidRPr="0052251D">
        <w:rPr>
          <w:rFonts w:ascii="Tahoma" w:eastAsia="Times New Roman" w:hAnsi="Tahoma" w:cs="Tahoma"/>
          <w:sz w:val="20"/>
          <w:szCs w:val="24"/>
        </w:rPr>
        <w:t>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>рассчитыва</w:t>
      </w:r>
      <w:r>
        <w:rPr>
          <w:rFonts w:ascii="Tahoma" w:eastAsia="Times New Roman" w:hAnsi="Tahoma" w:cs="Tahoma"/>
          <w:sz w:val="20"/>
          <w:szCs w:val="24"/>
        </w:rPr>
        <w:t>ю</w:t>
      </w:r>
      <w:r w:rsidRPr="00BE5E2F">
        <w:rPr>
          <w:rFonts w:ascii="Tahoma" w:eastAsia="Times New Roman" w:hAnsi="Tahoma" w:cs="Tahoma"/>
          <w:sz w:val="20"/>
          <w:szCs w:val="24"/>
        </w:rPr>
        <w:t>тся на каждую дату оценки, а прогнозн</w:t>
      </w:r>
      <w:r>
        <w:rPr>
          <w:rFonts w:ascii="Tahoma" w:eastAsia="Times New Roman" w:hAnsi="Tahoma" w:cs="Tahoma"/>
          <w:sz w:val="20"/>
          <w:szCs w:val="24"/>
        </w:rPr>
        <w:t>ые</w:t>
      </w:r>
      <w:r w:rsidRPr="00BE5E2F"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  <w:lang w:val="en-US"/>
        </w:rPr>
        <w:t>CPR</w:t>
      </w:r>
      <w:r w:rsidRPr="0052251D">
        <w:rPr>
          <w:rFonts w:ascii="Tahoma" w:eastAsia="Times New Roman" w:hAnsi="Tahoma" w:cs="Tahoma"/>
          <w:sz w:val="20"/>
          <w:szCs w:val="24"/>
        </w:rPr>
        <w:t xml:space="preserve"> </w:t>
      </w:r>
      <w:r>
        <w:rPr>
          <w:rFonts w:ascii="Tahoma" w:eastAsia="Times New Roman" w:hAnsi="Tahoma" w:cs="Tahoma"/>
          <w:sz w:val="20"/>
          <w:szCs w:val="24"/>
        </w:rPr>
        <w:t xml:space="preserve">и </w:t>
      </w:r>
      <w:r>
        <w:rPr>
          <w:rFonts w:ascii="Tahoma" w:eastAsia="Times New Roman" w:hAnsi="Tahoma" w:cs="Tahoma"/>
          <w:sz w:val="20"/>
          <w:szCs w:val="24"/>
          <w:lang w:val="en-US"/>
        </w:rPr>
        <w:t>CDR</w:t>
      </w:r>
      <w:r w:rsidRPr="00BE5E2F">
        <w:rPr>
          <w:rFonts w:ascii="Tahoma" w:eastAsia="Times New Roman" w:hAnsi="Tahoma" w:cs="Tahoma"/>
          <w:sz w:val="20"/>
          <w:szCs w:val="24"/>
        </w:rPr>
        <w:t>, используем</w:t>
      </w:r>
      <w:r>
        <w:rPr>
          <w:rFonts w:ascii="Tahoma" w:eastAsia="Times New Roman" w:hAnsi="Tahoma" w:cs="Tahoma"/>
          <w:sz w:val="20"/>
          <w:szCs w:val="24"/>
        </w:rPr>
        <w:t>ые</w:t>
      </w:r>
      <w:r w:rsidRPr="00BE5E2F">
        <w:rPr>
          <w:rFonts w:ascii="Tahoma" w:eastAsia="Times New Roman" w:hAnsi="Tahoma" w:cs="Tahoma"/>
          <w:sz w:val="20"/>
          <w:szCs w:val="24"/>
        </w:rPr>
        <w:t xml:space="preserve"> для прогнозирования потока платежей приравнива</w:t>
      </w:r>
      <w:r>
        <w:rPr>
          <w:rFonts w:ascii="Tahoma" w:eastAsia="Times New Roman" w:hAnsi="Tahoma" w:cs="Tahoma"/>
          <w:sz w:val="20"/>
          <w:szCs w:val="24"/>
        </w:rPr>
        <w:t>ю</w:t>
      </w:r>
      <w:r w:rsidRPr="00BE5E2F">
        <w:rPr>
          <w:rFonts w:ascii="Tahoma" w:eastAsia="Times New Roman" w:hAnsi="Tahoma" w:cs="Tahoma"/>
          <w:sz w:val="20"/>
          <w:szCs w:val="24"/>
        </w:rPr>
        <w:t>тся к текущему значению и счита</w:t>
      </w:r>
      <w:r>
        <w:rPr>
          <w:rFonts w:ascii="Tahoma" w:eastAsia="Times New Roman" w:hAnsi="Tahoma" w:cs="Tahoma"/>
          <w:sz w:val="20"/>
          <w:szCs w:val="24"/>
        </w:rPr>
        <w:t>ю</w:t>
      </w:r>
      <w:r w:rsidRPr="00BE5E2F">
        <w:rPr>
          <w:rFonts w:ascii="Tahoma" w:eastAsia="Times New Roman" w:hAnsi="Tahoma" w:cs="Tahoma"/>
          <w:sz w:val="20"/>
          <w:szCs w:val="24"/>
        </w:rPr>
        <w:t>тся постоянн</w:t>
      </w:r>
      <w:r>
        <w:rPr>
          <w:rFonts w:ascii="Tahoma" w:eastAsia="Times New Roman" w:hAnsi="Tahoma" w:cs="Tahoma"/>
          <w:sz w:val="20"/>
          <w:szCs w:val="24"/>
        </w:rPr>
        <w:t>ыми</w:t>
      </w:r>
      <w:r w:rsidRPr="00BE5E2F">
        <w:rPr>
          <w:rFonts w:ascii="Tahoma" w:eastAsia="Times New Roman" w:hAnsi="Tahoma" w:cs="Tahoma"/>
          <w:sz w:val="20"/>
          <w:szCs w:val="24"/>
        </w:rPr>
        <w:t xml:space="preserve">. Фактически такая модель эквивалентна предположению о невозможности автоматизированного прогнозирования макроэкономической ситуации и, соответственно, использованию «наивного» предсказания. </w:t>
      </w:r>
    </w:p>
    <w:p w14:paraId="408398C9" w14:textId="2122A807" w:rsidR="009E09A1" w:rsidRPr="00101E14" w:rsidRDefault="009E09A1" w:rsidP="00101E14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BE5E2F">
        <w:rPr>
          <w:rFonts w:ascii="Tahoma" w:eastAsia="Times New Roman" w:hAnsi="Tahoma" w:cs="Tahoma"/>
          <w:sz w:val="20"/>
          <w:szCs w:val="24"/>
        </w:rPr>
        <w:t>В дополнение к пункту 6.7 Методики определения стоимости рублевых облигаций, настоящ</w:t>
      </w:r>
      <w:r w:rsidR="00D87DE8">
        <w:rPr>
          <w:rFonts w:ascii="Tahoma" w:eastAsia="Times New Roman" w:hAnsi="Tahoma" w:cs="Tahoma"/>
          <w:sz w:val="20"/>
          <w:szCs w:val="24"/>
        </w:rPr>
        <w:t>ая</w:t>
      </w:r>
      <w:r w:rsidRPr="00BE5E2F">
        <w:rPr>
          <w:rFonts w:ascii="Tahoma" w:eastAsia="Times New Roman" w:hAnsi="Tahoma" w:cs="Tahoma"/>
          <w:sz w:val="20"/>
          <w:szCs w:val="24"/>
        </w:rPr>
        <w:t xml:space="preserve"> </w:t>
      </w:r>
      <w:r w:rsidR="00D87DE8">
        <w:rPr>
          <w:rFonts w:ascii="Tahoma" w:eastAsia="Times New Roman" w:hAnsi="Tahoma" w:cs="Tahoma"/>
          <w:sz w:val="20"/>
          <w:szCs w:val="24"/>
        </w:rPr>
        <w:t xml:space="preserve">Методика </w:t>
      </w:r>
      <w:r w:rsidRPr="00BE5E2F">
        <w:rPr>
          <w:rFonts w:ascii="Tahoma" w:eastAsia="Times New Roman" w:hAnsi="Tahoma" w:cs="Tahoma"/>
          <w:sz w:val="20"/>
          <w:szCs w:val="24"/>
        </w:rPr>
        <w:t xml:space="preserve">предполагает возможность использования рейтингов эмиссии, присвоенных национальными рейтинговыми агентствами, в случае присвоения рейтинга на суверенном уровне. В таком случае для оценки премии за кредитный риск </w:t>
      </w:r>
      <m:oMath>
        <m:r>
          <w:rPr>
            <w:rFonts w:ascii="Cambria Math" w:eastAsia="Times New Roman" w:hAnsi="Cambria Math" w:cs="Tahoma"/>
            <w:sz w:val="20"/>
            <w:szCs w:val="24"/>
          </w:rPr>
          <m:t>Ris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4"/>
          </w:rPr>
          <m:t>(t)</m:t>
        </m:r>
      </m:oMath>
      <w:r w:rsidRPr="00BE5E2F">
        <w:rPr>
          <w:rFonts w:ascii="Tahoma" w:eastAsia="Times New Roman" w:hAnsi="Tahoma" w:cs="Tahoma"/>
          <w:sz w:val="20"/>
          <w:szCs w:val="24"/>
        </w:rPr>
        <w:t xml:space="preserve"> используется текущий суверенный рейтинг по международным рейтинговым шкалам, дальнейший расчет производится в соответствии с пунктом 6.7 Методики определения стоимости рублевых облигаций.</w:t>
      </w:r>
    </w:p>
    <w:p w14:paraId="13893D73" w14:textId="77777777" w:rsidR="009E09A1" w:rsidRPr="00C32A46" w:rsidRDefault="009E09A1" w:rsidP="009E09A1">
      <w:pPr>
        <w:pStyle w:val="af7"/>
        <w:numPr>
          <w:ilvl w:val="0"/>
          <w:numId w:val="19"/>
        </w:numPr>
        <w:rPr>
          <w:rFonts w:ascii="Tahoma" w:hAnsi="Tahoma" w:cs="Tahoma"/>
          <w:color w:val="C00000"/>
          <w:sz w:val="28"/>
        </w:rPr>
      </w:pPr>
      <w:r w:rsidRPr="00C32A46">
        <w:rPr>
          <w:rFonts w:ascii="Tahoma" w:hAnsi="Tahoma" w:cs="Tahoma"/>
          <w:color w:val="C00000"/>
          <w:sz w:val="28"/>
        </w:rPr>
        <w:lastRenderedPageBreak/>
        <w:t>Моделирование планового денежного потока ИЦБ</w:t>
      </w:r>
    </w:p>
    <w:p w14:paraId="130723DF" w14:textId="77777777" w:rsidR="009E09A1" w:rsidRDefault="009E09A1" w:rsidP="00101E14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Расчет планового потока платежей по ИЦБ производится на основе данных </w:t>
      </w:r>
      <w:r>
        <w:rPr>
          <w:rFonts w:ascii="Tahoma" w:eastAsiaTheme="minorEastAsia" w:hAnsi="Tahoma" w:cs="Tahoma"/>
          <w:sz w:val="20"/>
          <w:szCs w:val="20"/>
        </w:rPr>
        <w:t>по реестру ипотечного покрытия или данных, предоставляемых сервисным агентом.</w:t>
      </w:r>
    </w:p>
    <w:p w14:paraId="13F7D33E" w14:textId="77777777" w:rsidR="009E09A1" w:rsidRPr="00BB56C8" w:rsidRDefault="009E09A1" w:rsidP="00101E14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jc w:val="both"/>
        <w:rPr>
          <w:rFonts w:ascii="Tahoma" w:eastAsiaTheme="minorEastAsia" w:hAnsi="Tahoma" w:cs="Tahoma"/>
          <w:sz w:val="20"/>
          <w:szCs w:val="20"/>
        </w:rPr>
      </w:pPr>
      <w:r w:rsidRPr="00BB56C8">
        <w:rPr>
          <w:rFonts w:ascii="Tahoma" w:eastAsiaTheme="minorEastAsia" w:hAnsi="Tahoma" w:cs="Tahoma"/>
          <w:sz w:val="20"/>
          <w:szCs w:val="20"/>
        </w:rPr>
        <w:t xml:space="preserve"> Используемая далее временная сетка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BB56C8">
        <w:rPr>
          <w:rFonts w:ascii="Tahoma" w:eastAsiaTheme="minorEastAsia" w:hAnsi="Tahoma" w:cs="Tahoma"/>
          <w:sz w:val="20"/>
          <w:szCs w:val="20"/>
        </w:rPr>
        <w:t xml:space="preserve"> совпадает с датами выплат по ИЦБ. Если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>&gt;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0</m:t>
            </m:r>
          </m:sub>
        </m:sSub>
      </m:oMath>
      <w:r w:rsidRPr="00BB56C8">
        <w:rPr>
          <w:rFonts w:ascii="Tahoma" w:eastAsiaTheme="minorEastAsia" w:hAnsi="Tahoma" w:cs="Tahoma"/>
          <w:sz w:val="20"/>
          <w:szCs w:val="20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0</m:t>
            </m:r>
          </m:sub>
        </m:sSub>
      </m:oMath>
      <w:r w:rsidRPr="00BB56C8">
        <w:rPr>
          <w:rFonts w:ascii="Tahoma" w:eastAsiaTheme="minorEastAsia" w:hAnsi="Tahoma" w:cs="Tahoma"/>
          <w:sz w:val="20"/>
          <w:szCs w:val="20"/>
        </w:rPr>
        <w:t xml:space="preserve"> полагается равной дате предыдущей купонной выплаты или дате начала размещения оцениваемой бумаги.</w:t>
      </w:r>
    </w:p>
    <w:p w14:paraId="256FB1F7" w14:textId="77777777" w:rsidR="009E09A1" w:rsidRDefault="009E09A1" w:rsidP="009E09A1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Оценка погашения номинала.</w:t>
      </w:r>
    </w:p>
    <w:p w14:paraId="490B0C4C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Расчет аннуитетного потока поступлений.</w:t>
      </w:r>
    </w:p>
    <w:p w14:paraId="47E3A8F5" w14:textId="77777777" w:rsidR="009E09A1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однотраншевым выпускам ИЦБ с поручительством: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-1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;</m:t>
          </m:r>
        </m:oMath>
      </m:oMathPara>
    </w:p>
    <w:p w14:paraId="03D5A7AF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старшим траншам ИЦБ: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PoolNo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-1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368E8E89" w14:textId="77777777" w:rsidR="009E09A1" w:rsidRPr="0052251D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Расчет средневзвешенной ставки по ипотечному покрытию: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WAC=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>Тогда ставка процента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=WAC⋅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12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, если 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t</m:t>
              </m: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 больше даты первого купона,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=WAC⋅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365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 иначе.</m:t>
          </m:r>
        </m:oMath>
      </m:oMathPara>
    </w:p>
    <w:p w14:paraId="15FEECD2" w14:textId="663080BF" w:rsidR="009E09A1" w:rsidRPr="0052251D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Расчет средневзвешенного планового срока</w:t>
      </w:r>
      <w:r w:rsidR="0041742F" w:rsidRPr="0041742F">
        <w:rPr>
          <w:rFonts w:ascii="Tahoma" w:eastAsiaTheme="minorEastAsia" w:hAnsi="Tahoma" w:cs="Tahoma"/>
          <w:sz w:val="20"/>
          <w:szCs w:val="20"/>
        </w:rPr>
        <w:t xml:space="preserve"> </w:t>
      </w:r>
      <w:r w:rsidR="0041742F" w:rsidRPr="00F43F2A">
        <w:rPr>
          <w:rFonts w:ascii="Tahoma" w:eastAsiaTheme="minorEastAsia" w:hAnsi="Tahoma" w:cs="Tahoma"/>
          <w:sz w:val="20"/>
          <w:szCs w:val="20"/>
        </w:rPr>
        <w:t>погашения</w:t>
      </w:r>
      <w:r>
        <w:rPr>
          <w:rFonts w:ascii="Tahoma" w:eastAsiaTheme="minorEastAsia" w:hAnsi="Tahoma" w:cs="Tahoma"/>
          <w:sz w:val="20"/>
          <w:szCs w:val="20"/>
        </w:rPr>
        <w:t xml:space="preserve"> закладных: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WAM=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>Тогда оставшееся количество купонных периодов на начало расчета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ahoma"/>
              <w:sz w:val="20"/>
              <w:szCs w:val="20"/>
            </w:rPr>
            <m:t>ceil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WAM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-1, i≥2, 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≥0.</m:t>
          </m:r>
        </m:oMath>
      </m:oMathPara>
    </w:p>
    <w:p w14:paraId="6FCFFFF7" w14:textId="77777777" w:rsidR="009E09A1" w:rsidRPr="0052251D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Для каждого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>
        <w:rPr>
          <w:rFonts w:ascii="Tahoma" w:eastAsiaTheme="minorEastAsia" w:hAnsi="Tahoma" w:cs="Tahoma"/>
          <w:sz w:val="20"/>
          <w:szCs w:val="20"/>
        </w:rPr>
        <w:t>-го месяца, предшествующего дате оценки, рассчитывается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SM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j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hist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hist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hist</m:t>
                  </m:r>
                </m:sup>
              </m:sSub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hist</m:t>
                  </m:r>
                </m:sup>
              </m:sSubSup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>На основе вычисленных значений доли досрочного погашения рассчитывается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CP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j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hist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=1-</m:t>
          </m:r>
          <m:sSup>
            <m:s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1-SM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hist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12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199B921B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По историческим значениям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</m:t>
            </m:r>
          </m:sup>
        </m:sSubSup>
      </m:oMath>
      <w:r>
        <w:rPr>
          <w:rFonts w:ascii="Tahoma" w:eastAsiaTheme="minorEastAsia" w:hAnsi="Tahoma" w:cs="Tahoma"/>
          <w:sz w:val="20"/>
          <w:szCs w:val="20"/>
        </w:rPr>
        <w:t xml:space="preserve"> вычисляется среднее значение</w:t>
      </w:r>
      <w:r w:rsidRPr="0052251D">
        <w:rPr>
          <w:rFonts w:ascii="Tahoma" w:eastAsiaTheme="minorEastAsia" w:hAnsi="Tahoma" w:cs="Tahoma"/>
          <w:sz w:val="20"/>
          <w:szCs w:val="20"/>
        </w:rPr>
        <w:t>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mort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j=1</m:t>
                  </m:r>
                </m:sub>
                <m:sup>
                  <m:func>
                    <m:func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J, 6</m:t>
                          </m:r>
                        </m:e>
                      </m:d>
                    </m:e>
                  </m:func>
                </m:sup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hist</m:t>
                      </m:r>
                    </m:sup>
                  </m:sSubSup>
                </m:e>
              </m:nary>
            </m:num>
            <m:den>
              <m:func>
                <m:fun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J, 6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 xml:space="preserve">где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–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количество опубликованных реестров ипотечного покрытия</w:t>
      </w:r>
      <w:r>
        <w:rPr>
          <w:rStyle w:val="a8"/>
          <w:rFonts w:cs="Tahoma"/>
          <w:sz w:val="20"/>
        </w:rPr>
        <w:footnoteReference w:id="2"/>
      </w:r>
      <w:r>
        <w:rPr>
          <w:rFonts w:ascii="Tahoma" w:eastAsiaTheme="minorEastAsia" w:hAnsi="Tahoma" w:cs="Tahoma"/>
          <w:sz w:val="20"/>
          <w:szCs w:val="20"/>
        </w:rPr>
        <w:t xml:space="preserve"> (РИП).</w:t>
      </w:r>
    </w:p>
    <w:p w14:paraId="0040D487" w14:textId="0EDE4E1F" w:rsidR="009E09A1" w:rsidRPr="0052251D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Дополнительно рассчитывается средняя наблюдаемая ставка досрочного погашения  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market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как скользящее среднее значение ставки досрочного погашения по всем ИЦБ, входящим в список репрезентативных ИЦБ за последние 6 месяцев до даты </w:t>
      </w:r>
      <w:r>
        <w:rPr>
          <w:rFonts w:ascii="Tahoma" w:eastAsiaTheme="minorEastAsia" w:hAnsi="Tahoma" w:cs="Tahoma"/>
          <w:sz w:val="20"/>
          <w:szCs w:val="20"/>
        </w:rPr>
        <w:lastRenderedPageBreak/>
        <w:t xml:space="preserve">оценки: усреднение сначала производится по всем репрезентативным ИЦБ в месяц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, </w:t>
      </w:r>
      <w:r>
        <w:rPr>
          <w:rFonts w:ascii="Tahoma" w:eastAsiaTheme="minorEastAsia" w:hAnsi="Tahoma" w:cs="Tahoma"/>
          <w:sz w:val="20"/>
          <w:szCs w:val="20"/>
        </w:rPr>
        <w:t>затем рассчитывается среднее по усредненным значениям: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market, j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q=1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</m:sSub>
                </m:sup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hist, q</m:t>
                      </m:r>
                    </m:sup>
                  </m:sSubSup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market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6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CPR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market, j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6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Q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–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количество репрезентативных ИЦБ в месяц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hist, q</m:t>
            </m:r>
          </m:sup>
        </m:sSubSup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–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ставка досрочного погашения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q</m:t>
        </m:r>
      </m:oMath>
      <w:r w:rsidRPr="0052251D">
        <w:rPr>
          <w:rFonts w:ascii="Tahoma" w:eastAsiaTheme="minorEastAsia" w:hAnsi="Tahoma" w:cs="Tahoma"/>
          <w:sz w:val="20"/>
          <w:szCs w:val="20"/>
        </w:rPr>
        <w:t>-</w:t>
      </w:r>
      <w:r>
        <w:rPr>
          <w:rFonts w:ascii="Tahoma" w:eastAsiaTheme="minorEastAsia" w:hAnsi="Tahoma" w:cs="Tahoma"/>
          <w:sz w:val="20"/>
          <w:szCs w:val="20"/>
        </w:rPr>
        <w:t xml:space="preserve">го ИЦБ в месяц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. </w:t>
      </w:r>
      <w:r>
        <w:rPr>
          <w:rFonts w:ascii="Tahoma" w:eastAsiaTheme="minorEastAsia" w:hAnsi="Tahoma" w:cs="Tahoma"/>
          <w:sz w:val="20"/>
          <w:szCs w:val="20"/>
        </w:rPr>
        <w:t>С</w:t>
      </w:r>
      <w:r w:rsidRPr="00EC592E">
        <w:rPr>
          <w:rFonts w:ascii="Tahoma" w:eastAsiaTheme="minorEastAsia" w:hAnsi="Tahoma" w:cs="Tahoma"/>
          <w:sz w:val="20"/>
          <w:szCs w:val="20"/>
        </w:rPr>
        <w:t>писок репрезентативных ИЦБ, состав которого определяется индивидуально в соответствии с критериями, согласованными Методической рабочей группой.</w:t>
      </w:r>
    </w:p>
    <w:p w14:paraId="5225F3CB" w14:textId="77777777" w:rsidR="009E09A1" w:rsidRPr="0052251D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В качестве прогнозного значения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CPR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для оцениваемого выпуска ИЦБ используется средневзвешенное между  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mort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и  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market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>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acc>
            <m:acc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CPR</m:t>
              </m:r>
            </m:e>
          </m:acc>
          <m:r>
            <w:rPr>
              <w:rFonts w:ascii="Cambria Math" w:eastAsiaTheme="minorEastAsia" w:hAnsi="Cambria Math" w:cs="Tahoma"/>
              <w:sz w:val="20"/>
              <w:szCs w:val="20"/>
            </w:rPr>
            <m:t>=λ⋅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mort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1-λ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market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>где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λ=</m:t>
          </m:r>
          <m:d>
            <m:dPr>
              <m:begChr m:val="{"/>
              <m:endChr m:val=""/>
              <m:ctrlPr>
                <w:rPr>
                  <w:rFonts w:ascii="Cambria Math" w:eastAsia="MS Gothic" w:hAnsi="Cambria Math" w:cs="MS Gothic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="MS Gothic" w:hAnsi="Cambria Math" w:cs="MS Gothic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 xml:space="preserve">1, если 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  <w:lang w:val="en-US"/>
                    </w:rPr>
                    <m:t>J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>≥6,</m:t>
                  </m:r>
                </m:e>
                <m:e>
                  <m:f>
                    <m:fPr>
                      <m:ctrlPr>
                        <w:rPr>
                          <w:rFonts w:ascii="Cambria Math" w:eastAsia="MS Gothic" w:hAnsi="Cambria Math" w:cs="MS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MS Gothic" w:hAnsi="Cambria Math" w:cs="MS Gothic"/>
                          <w:sz w:val="20"/>
                          <w:szCs w:val="20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eastAsia="MS Gothic" w:hAnsi="Cambria Math" w:cs="MS Gothic"/>
                          <w:sz w:val="20"/>
                          <w:szCs w:val="20"/>
                        </w:rPr>
                        <m:t>6</m:t>
                      </m:r>
                    </m:den>
                  </m:f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 xml:space="preserve">,если 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  <w:lang w:val="en-US"/>
                    </w:rPr>
                    <m:t>J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>&lt;6.</m:t>
                  </m:r>
                </m:e>
              </m:eqArr>
            </m:e>
          </m:d>
        </m:oMath>
      </m:oMathPara>
    </w:p>
    <w:p w14:paraId="150687CB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Значение досрочного погашения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для периода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, </w:t>
      </w:r>
      <w:r>
        <w:rPr>
          <w:rFonts w:ascii="Tahoma" w:eastAsiaTheme="minorEastAsia" w:hAnsi="Tahoma" w:cs="Tahoma"/>
          <w:sz w:val="20"/>
          <w:szCs w:val="20"/>
        </w:rPr>
        <w:t>выраженного в долях года, вычисляется как: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=1-</m:t>
          </m:r>
          <m:sSup>
            <m:s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1-</m:t>
                  </m:r>
                  <m:acc>
                    <m:acc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CPR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τ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p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больше даты выплаты первого купона, то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τ=</m:t>
        </m:r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12</m:t>
            </m:r>
          </m:den>
        </m:f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, </w:t>
      </w:r>
      <w:r>
        <w:rPr>
          <w:rFonts w:ascii="Tahoma" w:eastAsiaTheme="minorEastAsia" w:hAnsi="Tahoma" w:cs="Tahoma"/>
          <w:sz w:val="20"/>
          <w:szCs w:val="20"/>
        </w:rPr>
        <w:t xml:space="preserve">иначе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τ=</m:t>
        </m:r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ahoma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365</m:t>
            </m:r>
          </m:den>
        </m:f>
      </m:oMath>
      <w:r w:rsidRPr="0052251D">
        <w:rPr>
          <w:rFonts w:ascii="Tahoma" w:eastAsiaTheme="minorEastAsia" w:hAnsi="Tahoma" w:cs="Tahoma"/>
          <w:sz w:val="20"/>
          <w:szCs w:val="20"/>
        </w:rPr>
        <w:t>.</w:t>
      </w:r>
    </w:p>
    <w:p w14:paraId="36943ED4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Для оценки скорости значения выхода закладных в дефолт для каждого</w:t>
      </w:r>
      <w:r w:rsidRPr="009C3983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>
        <w:rPr>
          <w:rFonts w:ascii="Tahoma" w:eastAsiaTheme="minorEastAsia" w:hAnsi="Tahoma" w:cs="Tahoma"/>
          <w:sz w:val="20"/>
          <w:szCs w:val="20"/>
        </w:rPr>
        <w:t>-го месяца, предшествующего дате оценки, рассчитывается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CD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j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hist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=1-</m:t>
          </m:r>
          <m:sSup>
            <m:s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hist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hist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hist</m:t>
                          </m:r>
                        </m:sup>
                      </m:sSub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12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 xml:space="preserve">Аналогично пп. 2.3.5 – 2.3.8 вычисляется значение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CD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>.</w:t>
      </w:r>
    </w:p>
    <w:p w14:paraId="703B1AD0" w14:textId="5A08B9AB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Расчет плановых процентных платежей для закладных</w:t>
      </w:r>
      <w:r w:rsidR="00451ECC" w:rsidRPr="00966593">
        <w:rPr>
          <w:rFonts w:ascii="Tahoma" w:eastAsiaTheme="minorEastAsia" w:hAnsi="Tahoma" w:cs="Tahoma"/>
          <w:sz w:val="20"/>
          <w:szCs w:val="20"/>
        </w:rPr>
        <w:t>,</w:t>
      </w:r>
      <w:r>
        <w:rPr>
          <w:rFonts w:ascii="Tahoma" w:eastAsiaTheme="minorEastAsia" w:hAnsi="Tahoma" w:cs="Tahoma"/>
          <w:sz w:val="20"/>
          <w:szCs w:val="20"/>
        </w:rPr>
        <w:t xml:space="preserve"> начисленных в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период времени.</w:t>
      </w:r>
    </w:p>
    <w:p w14:paraId="26808890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однотраншевым выпускам ИЦБ с поручительством: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;</m:t>
          </m:r>
        </m:oMath>
      </m:oMathPara>
    </w:p>
    <w:p w14:paraId="2C03BE7A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По старшим траншам ИЦБ: 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PoolNo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26AF10B5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Погашение номинала ИЦБ в момент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разбивается на две части: плановое погашение и досрочное погашение. </w:t>
      </w:r>
      <w:r>
        <w:rPr>
          <w:rFonts w:ascii="Tahoma" w:eastAsiaTheme="minorEastAsia" w:hAnsi="Tahoma" w:cs="Tahoma"/>
          <w:sz w:val="20"/>
          <w:szCs w:val="20"/>
        </w:rPr>
        <w:br/>
        <w:t>Плановое погашение вычисляется как: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>Досрочное погашение вычисляется как</w:t>
      </w:r>
    </w:p>
    <w:p w14:paraId="2520C70C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однотраншевым выпускам ИЦБ с поручительством: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;</m:t>
          </m:r>
        </m:oMath>
      </m:oMathPara>
    </w:p>
    <w:p w14:paraId="7580E249" w14:textId="77777777" w:rsidR="009E09A1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старшим траншам ИЦБ: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PoolNo</m:t>
                  </m:r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6C75FCEF" w14:textId="433A9639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 w:rsidRPr="0052251D">
        <w:rPr>
          <w:rFonts w:ascii="Tahoma" w:eastAsiaTheme="minorEastAsia" w:hAnsi="Tahoma" w:cs="Tahoma"/>
          <w:sz w:val="20"/>
          <w:szCs w:val="20"/>
        </w:rPr>
        <w:lastRenderedPageBreak/>
        <w:t>Предполагается, что кредиты, перешедшие в состояние дефолта, выкупаются оригинатором. Сумма основного долга закладных, вышедших в дефолт, определяется как</w:t>
      </w:r>
    </w:p>
    <w:p w14:paraId="057544C1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однотраншевым выпускам ИЦБ с поручительством:</w:t>
      </w:r>
      <w:r w:rsidRPr="0052251D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⋅CD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7EDB5130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старшим траншам ИЦБ: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PoolNo</m:t>
                  </m:r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⋅CD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3EC69DAB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 w:rsidRPr="0052251D">
        <w:rPr>
          <w:rFonts w:ascii="Tahoma" w:eastAsiaTheme="minorEastAsia" w:hAnsi="Tahoma" w:cs="Tahoma"/>
          <w:sz w:val="20"/>
          <w:szCs w:val="20"/>
        </w:rPr>
        <w:t xml:space="preserve">Номинал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>
        <w:rPr>
          <w:rFonts w:ascii="Tahoma" w:eastAsiaTheme="minorEastAsia" w:hAnsi="Tahoma" w:cs="Tahoma"/>
          <w:sz w:val="20"/>
          <w:szCs w:val="20"/>
        </w:rPr>
        <w:t>.</w:t>
      </w:r>
    </w:p>
    <w:p w14:paraId="649B6D14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По однотраншевым выпускам ИЦБ с поручительством</w:t>
      </w:r>
      <w:r w:rsidRPr="0052251D">
        <w:rPr>
          <w:rFonts w:ascii="Tahoma" w:eastAsiaTheme="minorEastAsia" w:hAnsi="Tahoma" w:cs="Tahoma"/>
          <w:sz w:val="20"/>
          <w:szCs w:val="20"/>
        </w:rPr>
        <w:t>:</w:t>
      </w:r>
      <w:r w:rsidRPr="0052251D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;</m:t>
          </m:r>
        </m:oMath>
      </m:oMathPara>
    </w:p>
    <w:p w14:paraId="39B48ECE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 w:rsidRPr="0052251D">
        <w:rPr>
          <w:rFonts w:ascii="Tahoma" w:eastAsiaTheme="minorEastAsia" w:hAnsi="Tahoma" w:cs="Tahoma"/>
          <w:sz w:val="20"/>
          <w:szCs w:val="20"/>
        </w:rPr>
        <w:t>Если старшие транши имеют одинаковый приоритет погашения номинала:</w:t>
      </w:r>
      <w:r w:rsidRPr="0052251D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;</m:t>
          </m:r>
        </m:oMath>
      </m:oMathPara>
    </w:p>
    <w:p w14:paraId="5ED735F2" w14:textId="77777777" w:rsidR="009E09A1" w:rsidRPr="0052251D" w:rsidRDefault="009E09A1" w:rsidP="009E09A1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 w:rsidRPr="0052251D">
        <w:rPr>
          <w:rFonts w:ascii="Tahoma" w:eastAsiaTheme="minorEastAsia" w:hAnsi="Tahoma" w:cs="Tahoma"/>
          <w:sz w:val="20"/>
          <w:szCs w:val="20"/>
        </w:rPr>
        <w:t>Если старшие транши имеют разный приоритет погашения номинала:</w:t>
      </w:r>
      <w:r w:rsidRPr="0052251D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L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L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func>
            <m:func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L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L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L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-</m:t>
                  </m:r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s=1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s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s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s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s</m:t>
                              </m:r>
                            </m:sup>
                          </m:sSubSup>
                        </m:e>
                      </m:d>
                    </m:e>
                  </m:nary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, 0</m:t>
                  </m:r>
                </m:e>
              </m:d>
            </m:e>
          </m:func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 w:rsidRPr="0052251D">
        <w:rPr>
          <w:rFonts w:ascii="Tahoma" w:eastAsiaTheme="minorEastAsia" w:hAnsi="Tahoma" w:cs="Tahoma"/>
          <w:sz w:val="20"/>
          <w:szCs w:val="20"/>
        </w:rPr>
        <w:t xml:space="preserve">где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L&gt;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>,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s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– количество старших траншей с приоритетом выше, чем рассчитываемый старший транш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L</m:t>
        </m:r>
      </m:oMath>
      <w:r w:rsidRPr="0052251D">
        <w:rPr>
          <w:rFonts w:ascii="Tahoma" w:eastAsiaTheme="minorEastAsia" w:hAnsi="Tahoma" w:cs="Tahoma"/>
          <w:sz w:val="20"/>
          <w:szCs w:val="20"/>
        </w:rPr>
        <w:t>.</w:t>
      </w:r>
    </w:p>
    <w:p w14:paraId="013D7F34" w14:textId="77777777" w:rsidR="009E09A1" w:rsidRDefault="009E09A1" w:rsidP="009E09A1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Расчет купонных платежей.</w:t>
      </w:r>
    </w:p>
    <w:p w14:paraId="2F458BCA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Фиксированная ставка купона: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⋅Coupo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 w:cs="Tahoma"/>
              <w:sz w:val="20"/>
              <w:szCs w:val="20"/>
            </w:rPr>
            <m:t>yf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 xml:space="preserve">где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yf</m:t>
        </m:r>
        <m:d>
          <m:d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t, τ</m:t>
            </m:r>
          </m:e>
        </m:d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–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доля года, рассчитанная в соответствии с </w:t>
      </w:r>
      <w:r>
        <w:rPr>
          <w:rFonts w:ascii="Tahoma" w:eastAsiaTheme="minorEastAsia" w:hAnsi="Tahoma" w:cs="Tahoma"/>
          <w:sz w:val="20"/>
          <w:szCs w:val="20"/>
          <w:lang w:val="en-US"/>
        </w:rPr>
        <w:t>day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val="en-US"/>
        </w:rPr>
        <w:t>count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val="en-US"/>
        </w:rPr>
        <w:t>convention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для оцениваемой бумаги.</w:t>
      </w:r>
    </w:p>
    <w:p w14:paraId="1A108A12" w14:textId="77777777" w:rsidR="009E09A1" w:rsidRDefault="009E09A1" w:rsidP="009E09A1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Плавающая ставка купона по однотраншевым ИЦБ: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 xml:space="preserve">Величина расходов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принимается максимально допустимой величине расходов эмитента, указанной в условиях эмиссии ИЦБ.</w:t>
      </w:r>
    </w:p>
    <w:p w14:paraId="078D90AC" w14:textId="77777777" w:rsidR="009E09A1" w:rsidRPr="0052251D" w:rsidRDefault="009E09A1" w:rsidP="009E09A1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Денежный поток вычисляется по формуле: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 xml:space="preserve">При наличии опциона </w:t>
      </w:r>
      <w:r>
        <w:rPr>
          <w:rFonts w:ascii="Tahoma" w:eastAsiaTheme="minorEastAsia" w:hAnsi="Tahoma" w:cs="Tahoma"/>
          <w:sz w:val="20"/>
          <w:szCs w:val="20"/>
          <w:lang w:val="en-US"/>
        </w:rPr>
        <w:t>clean</w:t>
      </w:r>
      <w:r w:rsidRPr="0052251D">
        <w:rPr>
          <w:rFonts w:ascii="Tahoma" w:eastAsiaTheme="minorEastAsia" w:hAnsi="Tahoma" w:cs="Tahoma"/>
          <w:sz w:val="20"/>
          <w:szCs w:val="20"/>
        </w:rPr>
        <w:t>-</w:t>
      </w:r>
      <w:r>
        <w:rPr>
          <w:rFonts w:ascii="Tahoma" w:eastAsiaTheme="minorEastAsia" w:hAnsi="Tahoma" w:cs="Tahoma"/>
          <w:sz w:val="20"/>
          <w:szCs w:val="20"/>
          <w:lang w:val="en-US"/>
        </w:rPr>
        <w:t>up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val="en-US"/>
        </w:rPr>
        <w:t>call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с параметром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CleanUp</m:t>
        </m:r>
      </m:oMath>
      <w:r>
        <w:rPr>
          <w:rFonts w:ascii="Tahoma" w:eastAsiaTheme="minorEastAsia" w:hAnsi="Tahoma" w:cs="Tahoma"/>
          <w:sz w:val="20"/>
          <w:szCs w:val="20"/>
        </w:rPr>
        <w:t>, если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-CleanUp⋅No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init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&lt;0,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>
        <w:rPr>
          <w:rFonts w:ascii="Tahoma" w:eastAsiaTheme="minorEastAsia" w:hAnsi="Tahoma" w:cs="Tahoma"/>
          <w:sz w:val="20"/>
          <w:szCs w:val="20"/>
        </w:rPr>
        <w:t>то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=0, 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=0.</m:t>
          </m:r>
        </m:oMath>
      </m:oMathPara>
    </w:p>
    <w:p w14:paraId="5CF3D430" w14:textId="77777777" w:rsidR="009E09A1" w:rsidRPr="00362F27" w:rsidRDefault="009E09A1" w:rsidP="009E09A1">
      <w:pPr>
        <w:tabs>
          <w:tab w:val="left" w:pos="709"/>
        </w:tabs>
        <w:spacing w:before="240" w:after="120" w:line="240" w:lineRule="auto"/>
        <w:ind w:right="181"/>
      </w:pPr>
    </w:p>
    <w:p w14:paraId="11201264" w14:textId="2581E65C" w:rsidR="009E09A1" w:rsidRPr="00D5601A" w:rsidRDefault="009E09A1" w:rsidP="009E09A1">
      <w:pPr>
        <w:pStyle w:val="2"/>
        <w:rPr>
          <w:rFonts w:eastAsia="Times New Roman"/>
        </w:rPr>
      </w:pPr>
      <w:r>
        <w:rPr>
          <w:rFonts w:eastAsia="Times New Roman"/>
        </w:rPr>
        <w:t>Расч</w:t>
      </w:r>
      <w:r w:rsidR="009A04F4">
        <w:rPr>
          <w:rFonts w:eastAsia="Times New Roman"/>
        </w:rPr>
        <w:t>е</w:t>
      </w:r>
      <w:r>
        <w:rPr>
          <w:rFonts w:eastAsia="Times New Roman"/>
        </w:rPr>
        <w:t>т</w:t>
      </w:r>
      <w:r w:rsidRPr="00D5601A">
        <w:rPr>
          <w:rFonts w:eastAsia="Times New Roman"/>
        </w:rPr>
        <w:t xml:space="preserve"> стоимости ипотечных ценных бумаг</w:t>
      </w:r>
    </w:p>
    <w:p w14:paraId="166E3323" w14:textId="77777777" w:rsidR="009E09A1" w:rsidRPr="00064D3E" w:rsidRDefault="009E09A1" w:rsidP="009E09A1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rPr>
          <w:rStyle w:val="afb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</w:t>
      </w:r>
      <w:r w:rsidRPr="00362F27">
        <w:rPr>
          <w:rFonts w:ascii="Tahoma" w:eastAsiaTheme="minorEastAsia" w:hAnsi="Tahoma" w:cs="Tahoma"/>
          <w:sz w:val="20"/>
          <w:szCs w:val="20"/>
        </w:rPr>
        <w:t>Справедливая</w:t>
      </w:r>
      <w:r w:rsidRPr="00362F27">
        <w:rPr>
          <w:rFonts w:ascii="Tahoma" w:eastAsia="Times New Roman" w:hAnsi="Tahoma" w:cs="Tahoma"/>
          <w:sz w:val="20"/>
          <w:szCs w:val="20"/>
        </w:rPr>
        <w:t xml:space="preserve"> стоимость ИЦБ рассчитывается как сумма дисконтированных будущих платежей по такой ценной бумаге. При этом размер платежа определяется на основе спрогнозированных платежей</w:t>
      </w:r>
      <m:oMath>
        <m:r>
          <w:rPr>
            <w:rFonts w:ascii="Cambria Math" w:eastAsia="Times New Roman" w:hAnsi="Cambria Math" w:cs="Tahoma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en-US"/>
              </w:rPr>
              <m:t>CF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</m:oMath>
      <w:r w:rsidRPr="009E09A1">
        <w:rPr>
          <w:rStyle w:val="afb"/>
          <w:rFonts w:ascii="Tahoma" w:eastAsia="Times New Roman" w:hAnsi="Tahoma" w:cs="Tahoma"/>
          <w:b w:val="0"/>
          <w:sz w:val="20"/>
          <w:szCs w:val="20"/>
        </w:rPr>
        <w:t>.</w:t>
      </w:r>
    </w:p>
    <w:p w14:paraId="1CAC9105" w14:textId="77777777" w:rsidR="009E09A1" w:rsidRPr="00362F27" w:rsidRDefault="009E09A1" w:rsidP="009E09A1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62F27">
        <w:rPr>
          <w:rFonts w:ascii="Tahoma" w:hAnsi="Tahoma" w:cs="Tahoma"/>
          <w:sz w:val="20"/>
          <w:szCs w:val="20"/>
        </w:rPr>
        <w:t xml:space="preserve">Ставка дисконтирования определяется </w:t>
      </w:r>
      <w:r w:rsidRPr="00362F27">
        <w:rPr>
          <w:rFonts w:ascii="Tahoma" w:hAnsi="Tahoma" w:cs="Tahoma"/>
          <w:sz w:val="20"/>
          <w:szCs w:val="20"/>
          <w:lang w:val="en-US"/>
        </w:rPr>
        <w:t>z</w:t>
      </w:r>
      <w:r w:rsidRPr="00362F27">
        <w:rPr>
          <w:rFonts w:ascii="Tahoma" w:hAnsi="Tahoma" w:cs="Tahoma"/>
          <w:sz w:val="20"/>
          <w:szCs w:val="20"/>
        </w:rPr>
        <w:t>-спрэдом к базовой кривой:</w:t>
      </w:r>
    </w:p>
    <w:p w14:paraId="23443559" w14:textId="77777777" w:rsidR="009E09A1" w:rsidRPr="00362F27" w:rsidRDefault="007C03BE" w:rsidP="009E09A1">
      <w:pPr>
        <w:tabs>
          <w:tab w:val="left" w:pos="709"/>
        </w:tabs>
        <w:spacing w:before="240" w:after="120" w:line="240" w:lineRule="auto"/>
        <w:ind w:left="851" w:right="181"/>
        <w:rPr>
          <w:rFonts w:ascii="Tahoma" w:eastAsiaTheme="minorEastAsia" w:hAnsi="Tahoma" w:cs="Tahoma"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</w:rPr>
                <m:t>d</m:t>
              </m:r>
            </m:sub>
          </m:sSub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ahoma"/>
              <w:sz w:val="20"/>
              <w:szCs w:val="20"/>
            </w:rPr>
            <m:t>=G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ahoma"/>
              <w:sz w:val="20"/>
              <w:szCs w:val="20"/>
            </w:rPr>
            <m:t>+z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.</m:t>
          </m:r>
        </m:oMath>
      </m:oMathPara>
    </w:p>
    <w:p w14:paraId="0ABF6A95" w14:textId="77777777" w:rsidR="009E09A1" w:rsidRPr="00362F27" w:rsidRDefault="007C03BE" w:rsidP="009E09A1">
      <w:pPr>
        <w:tabs>
          <w:tab w:val="left" w:pos="709"/>
        </w:tabs>
        <w:spacing w:before="240" w:after="120" w:line="240" w:lineRule="auto"/>
        <w:ind w:left="709" w:right="181"/>
        <w:rPr>
          <w:rFonts w:ascii="Tahoma" w:eastAsiaTheme="minorEastAsia" w:hAnsi="Tahoma" w:cs="Tahoma"/>
          <w:sz w:val="20"/>
          <w:szCs w:val="20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 w:cs="Tahoma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>)</m:t>
        </m:r>
      </m:oMath>
      <w:r w:rsidR="009E09A1" w:rsidRPr="00362F27">
        <w:rPr>
          <w:rFonts w:ascii="Tahoma" w:eastAsiaTheme="minorEastAsia" w:hAnsi="Tahoma" w:cs="Tahoma"/>
          <w:i/>
          <w:sz w:val="20"/>
          <w:szCs w:val="20"/>
        </w:rPr>
        <w:t xml:space="preserve"> </w:t>
      </w:r>
      <w:r w:rsidR="009E09A1" w:rsidRPr="00362F27">
        <w:rPr>
          <w:rFonts w:ascii="Tahoma" w:eastAsiaTheme="minorEastAsia" w:hAnsi="Tahoma" w:cs="Tahoma"/>
          <w:sz w:val="20"/>
          <w:szCs w:val="20"/>
        </w:rPr>
        <w:t>– ставка дисконтирования;</w:t>
      </w:r>
    </w:p>
    <w:p w14:paraId="6C688209" w14:textId="77777777" w:rsidR="009E09A1" w:rsidRPr="00362F27" w:rsidRDefault="009E09A1" w:rsidP="009E09A1">
      <w:pPr>
        <w:pStyle w:val="af7"/>
        <w:spacing w:after="120"/>
        <w:contextualSpacing w:val="0"/>
        <w:rPr>
          <w:rFonts w:ascii="Tahoma" w:hAnsi="Tahoma" w:cs="Tahoma"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z(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>)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– расчетный </w:t>
      </w:r>
      <w:r w:rsidRPr="00362F27">
        <w:rPr>
          <w:rFonts w:ascii="Tahoma" w:eastAsiaTheme="minorEastAsia" w:hAnsi="Tahoma" w:cs="Tahoma"/>
          <w:sz w:val="20"/>
          <w:szCs w:val="20"/>
          <w:lang w:val="en-US"/>
        </w:rPr>
        <w:t>z</w:t>
      </w:r>
      <w:r w:rsidRPr="00362F27">
        <w:rPr>
          <w:rFonts w:ascii="Tahoma" w:eastAsiaTheme="minorEastAsia" w:hAnsi="Tahoma" w:cs="Tahoma"/>
          <w:sz w:val="20"/>
          <w:szCs w:val="20"/>
        </w:rPr>
        <w:t>-спред между торгуемой ИЦБ и базовой кривой;</w:t>
      </w:r>
    </w:p>
    <w:p w14:paraId="00517E0C" w14:textId="77777777" w:rsidR="009E09A1" w:rsidRPr="00362F27" w:rsidRDefault="009E09A1" w:rsidP="009E09A1">
      <w:pPr>
        <w:pStyle w:val="af7"/>
        <w:spacing w:after="120"/>
        <w:contextualSpacing w:val="0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  <w:lang w:val="en-US" w:eastAsia="ru-RU"/>
          </w:rPr>
          <m:t>G</m:t>
        </m:r>
        <m:r>
          <w:rPr>
            <w:rFonts w:ascii="Cambria Math" w:hAnsi="Cambria Math" w:cs="Tahoma"/>
            <w:sz w:val="20"/>
            <w:szCs w:val="20"/>
          </w:rPr>
          <m:t>(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ahoma"/>
            <w:sz w:val="20"/>
            <w:szCs w:val="20"/>
          </w:rPr>
          <m:t>)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– ставка </w:t>
      </w:r>
      <w:r w:rsidRPr="00362F27">
        <w:rPr>
          <w:rFonts w:ascii="Tahoma" w:hAnsi="Tahoma" w:cs="Tahoma"/>
          <w:iCs/>
          <w:sz w:val="20"/>
          <w:szCs w:val="20"/>
        </w:rPr>
        <w:t>доходности по базовой кривой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на дату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</m:oMath>
      <w:r w:rsidRPr="00362F27">
        <w:rPr>
          <w:rFonts w:ascii="Tahoma" w:eastAsiaTheme="minorEastAsia" w:hAnsi="Tahoma" w:cs="Tahoma"/>
          <w:sz w:val="20"/>
          <w:szCs w:val="20"/>
        </w:rPr>
        <w:t>.</w:t>
      </w:r>
    </w:p>
    <w:p w14:paraId="515D3FB1" w14:textId="77777777" w:rsidR="009E09A1" w:rsidRPr="00362F27" w:rsidRDefault="009E09A1" w:rsidP="009E09A1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right="1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62F27">
        <w:rPr>
          <w:rFonts w:ascii="Tahoma" w:hAnsi="Tahoma" w:cs="Tahoma"/>
          <w:sz w:val="20"/>
          <w:szCs w:val="20"/>
        </w:rPr>
        <w:t>Стоимость ИЦБ рассчитывается по следующей формуле:</w:t>
      </w:r>
      <w:r>
        <w:rPr>
          <w:rFonts w:ascii="Tahoma" w:hAnsi="Tahoma" w:cs="Tahoma"/>
          <w:sz w:val="20"/>
          <w:szCs w:val="20"/>
        </w:rPr>
        <w:br/>
      </w:r>
      <m:oMathPara>
        <m:oMath>
          <m:r>
            <w:rPr>
              <w:rFonts w:ascii="Cambria Math" w:hAnsi="Cambria Math" w:cs="Tahoma"/>
              <w:sz w:val="20"/>
              <w:szCs w:val="20"/>
            </w:rPr>
            <m:t>P=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</w:rPr>
                <m:t>No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k&gt;i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ahoma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yf</m:t>
                          </m:r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 xml:space="preserve">,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)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</m:e>
              </m:nary>
            </m:e>
          </m:d>
          <m:r>
            <w:rPr>
              <w:rFonts w:ascii="Cambria Math" w:hAnsi="Cambria Math" w:cs="Tahoma"/>
              <w:sz w:val="20"/>
              <w:szCs w:val="20"/>
            </w:rPr>
            <m:t>-AI,</m:t>
          </m:r>
        </m:oMath>
      </m:oMathPara>
    </w:p>
    <w:p w14:paraId="01613F06" w14:textId="77777777" w:rsidR="009E09A1" w:rsidRPr="00362F27" w:rsidRDefault="009E09A1" w:rsidP="009E09A1">
      <w:pPr>
        <w:pStyle w:val="af7"/>
        <w:spacing w:after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где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P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 w:rsidRPr="00362F27">
        <w:rPr>
          <w:rFonts w:ascii="Tahoma" w:eastAsiaTheme="minorEastAsia" w:hAnsi="Tahoma" w:cs="Tahoma"/>
          <w:sz w:val="20"/>
          <w:szCs w:val="20"/>
        </w:rPr>
        <w:t>– чистая стоимость ИЦБ, выраженная в процентах от номинальной стоимости (для амортизационных бумаг – от непогашенной части номинала)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, </w:t>
      </w:r>
      <m:oMath>
        <m:r>
          <w:rPr>
            <w:rFonts w:ascii="Cambria Math" w:hAnsi="Cambria Math" w:cs="Tahoma"/>
            <w:sz w:val="20"/>
            <w:szCs w:val="20"/>
          </w:rPr>
          <m:t>AI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– накопленный купонный доход (НКД) облигации, выраженный в процентах от ее текущей номинальной стоимости с учетом амортизации</w:t>
      </w:r>
      <w:r w:rsidRPr="0052251D">
        <w:rPr>
          <w:rFonts w:ascii="Tahoma" w:eastAsiaTheme="minorEastAsia" w:hAnsi="Tahoma" w:cs="Tahoma"/>
          <w:sz w:val="20"/>
          <w:szCs w:val="20"/>
        </w:rPr>
        <w:t>.</w:t>
      </w:r>
    </w:p>
    <w:p w14:paraId="0ABB8341" w14:textId="77777777" w:rsidR="009E09A1" w:rsidRPr="00A34B44" w:rsidRDefault="009E09A1" w:rsidP="009E09A1">
      <w:pPr>
        <w:pStyle w:val="af7"/>
        <w:spacing w:after="120"/>
        <w:ind w:left="360"/>
      </w:pPr>
      <w:r w:rsidRPr="00362F27">
        <w:rPr>
          <w:rFonts w:ascii="Tahoma" w:eastAsiaTheme="minorEastAsia" w:hAnsi="Tahoma" w:cs="Tahoma"/>
          <w:sz w:val="20"/>
          <w:szCs w:val="20"/>
        </w:rPr>
        <w:t xml:space="preserve">Ставка </w:t>
      </w:r>
      <w:r w:rsidRPr="00362F27">
        <w:rPr>
          <w:rFonts w:ascii="Tahoma" w:hAnsi="Tahoma" w:cs="Tahoma"/>
          <w:iCs/>
          <w:sz w:val="20"/>
          <w:szCs w:val="20"/>
        </w:rPr>
        <w:t>доходности</w:t>
      </w:r>
      <w:r w:rsidRPr="0052251D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о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пределяется на основе </w:t>
      </w:r>
      <w:r>
        <w:rPr>
          <w:rFonts w:ascii="Tahoma" w:eastAsiaTheme="minorEastAsia" w:hAnsi="Tahoma" w:cs="Tahoma"/>
          <w:sz w:val="20"/>
          <w:szCs w:val="20"/>
        </w:rPr>
        <w:t xml:space="preserve">Кривой 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бескупонной доходности </w:t>
      </w:r>
      <w:r>
        <w:rPr>
          <w:rFonts w:ascii="Tahoma" w:eastAsiaTheme="minorEastAsia" w:hAnsi="Tahoma" w:cs="Tahoma"/>
          <w:sz w:val="20"/>
          <w:szCs w:val="20"/>
        </w:rPr>
        <w:t>Московской Биржи</w:t>
      </w:r>
      <w:r>
        <w:rPr>
          <w:rStyle w:val="a8"/>
          <w:rFonts w:cs="Tahoma"/>
          <w:sz w:val="20"/>
        </w:rPr>
        <w:footnoteReference w:id="3"/>
      </w:r>
      <w:r w:rsidRPr="00362F27">
        <w:rPr>
          <w:rFonts w:ascii="Tahoma" w:eastAsiaTheme="minorEastAsia" w:hAnsi="Tahoma" w:cs="Tahoma"/>
          <w:sz w:val="20"/>
          <w:szCs w:val="20"/>
        </w:rPr>
        <w:t xml:space="preserve">. Расчет показателей </w:t>
      </w:r>
      <m:oMath>
        <m:r>
          <w:rPr>
            <w:rFonts w:ascii="Cambria Math" w:hAnsi="Cambria Math" w:cs="Tahoma"/>
            <w:sz w:val="20"/>
            <w:szCs w:val="20"/>
          </w:rPr>
          <m:t>z(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>)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 w:rsidRPr="00362F27">
        <w:rPr>
          <w:rFonts w:ascii="Tahoma" w:eastAsia="Times New Roman" w:hAnsi="Tahoma" w:cs="Tahoma"/>
          <w:sz w:val="20"/>
          <w:szCs w:val="20"/>
        </w:rPr>
        <w:t xml:space="preserve">осуществляется в соответствии с </w:t>
      </w:r>
      <w:r>
        <w:rPr>
          <w:rFonts w:ascii="Tahoma" w:eastAsia="Times New Roman" w:hAnsi="Tahoma" w:cs="Tahoma"/>
          <w:sz w:val="20"/>
          <w:szCs w:val="20"/>
        </w:rPr>
        <w:t>М</w:t>
      </w:r>
      <w:r w:rsidRPr="00362F27">
        <w:rPr>
          <w:rFonts w:ascii="Tahoma" w:eastAsia="Times New Roman" w:hAnsi="Tahoma" w:cs="Tahoma"/>
          <w:sz w:val="20"/>
          <w:szCs w:val="20"/>
        </w:rPr>
        <w:t>етодикой определения стоимости рублевых облигаций</w:t>
      </w:r>
      <w:r w:rsidRPr="00362F27">
        <w:rPr>
          <w:rFonts w:ascii="Tahoma" w:eastAsiaTheme="minorEastAsia" w:hAnsi="Tahoma" w:cs="Tahoma"/>
          <w:sz w:val="20"/>
          <w:szCs w:val="20"/>
        </w:rPr>
        <w:t>.</w:t>
      </w:r>
    </w:p>
    <w:p w14:paraId="56A6FF53" w14:textId="77777777" w:rsidR="009E09A1" w:rsidRPr="00BD404B" w:rsidRDefault="009E09A1" w:rsidP="009E09A1">
      <w:pPr>
        <w:pStyle w:val="af7"/>
        <w:spacing w:line="276" w:lineRule="auto"/>
        <w:ind w:left="79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9DE6A9" w14:textId="77777777" w:rsidR="009E09A1" w:rsidRDefault="009E09A1" w:rsidP="009E09A1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br w:type="page"/>
      </w:r>
    </w:p>
    <w:p w14:paraId="47A6B8E9" w14:textId="3ECD2637" w:rsidR="009E09A1" w:rsidRDefault="009E09A1" w:rsidP="009E09A1">
      <w:pPr>
        <w:spacing w:after="240"/>
        <w:rPr>
          <w:rFonts w:ascii="Tahoma" w:hAnsi="Tahoma" w:cs="Tahoma"/>
          <w:color w:val="C00000"/>
          <w:sz w:val="28"/>
          <w:szCs w:val="28"/>
        </w:rPr>
      </w:pPr>
      <w:r w:rsidRPr="00362F27">
        <w:rPr>
          <w:rFonts w:ascii="Tahoma" w:hAnsi="Tahoma" w:cs="Tahoma"/>
          <w:color w:val="C00000"/>
          <w:sz w:val="28"/>
          <w:szCs w:val="28"/>
        </w:rPr>
        <w:lastRenderedPageBreak/>
        <w:t xml:space="preserve">Приложение 1 </w:t>
      </w:r>
      <w:r>
        <w:rPr>
          <w:rFonts w:ascii="Tahoma" w:hAnsi="Tahoma" w:cs="Tahoma"/>
          <w:color w:val="C00000"/>
          <w:sz w:val="28"/>
          <w:szCs w:val="28"/>
        </w:rPr>
        <w:br/>
      </w:r>
      <w:r w:rsidRPr="00362F27">
        <w:rPr>
          <w:rFonts w:ascii="Tahoma" w:hAnsi="Tahoma" w:cs="Tahoma"/>
          <w:color w:val="C00000"/>
          <w:sz w:val="28"/>
          <w:szCs w:val="28"/>
        </w:rPr>
        <w:t>Параметры, согласованн</w:t>
      </w:r>
      <w:r>
        <w:rPr>
          <w:rFonts w:ascii="Tahoma" w:hAnsi="Tahoma" w:cs="Tahoma"/>
          <w:color w:val="C00000"/>
          <w:sz w:val="28"/>
          <w:szCs w:val="28"/>
        </w:rPr>
        <w:t>ые Методической рабочей группой</w:t>
      </w:r>
    </w:p>
    <w:p w14:paraId="5F3FDD93" w14:textId="77777777" w:rsidR="0055563A" w:rsidRPr="00362F27" w:rsidRDefault="0055563A" w:rsidP="009E09A1">
      <w:pPr>
        <w:spacing w:after="240"/>
        <w:rPr>
          <w:rFonts w:ascii="Tahoma" w:hAnsi="Tahoma" w:cs="Tahoma"/>
          <w:color w:val="C00000"/>
          <w:sz w:val="28"/>
          <w:szCs w:val="28"/>
        </w:rPr>
      </w:pPr>
    </w:p>
    <w:p w14:paraId="34E941CC" w14:textId="2EA5F097" w:rsidR="0055563A" w:rsidRDefault="009E09A1" w:rsidP="00332FC8">
      <w:pPr>
        <w:numPr>
          <w:ilvl w:val="0"/>
          <w:numId w:val="25"/>
        </w:numPr>
        <w:tabs>
          <w:tab w:val="num" w:pos="426"/>
        </w:tabs>
        <w:spacing w:after="0" w:line="360" w:lineRule="auto"/>
        <w:ind w:left="426" w:hanging="426"/>
        <w:rPr>
          <w:rFonts w:ascii="Tahoma" w:hAnsi="Tahoma" w:cs="Tahoma"/>
          <w:sz w:val="20"/>
          <w:szCs w:val="20"/>
        </w:rPr>
      </w:pPr>
      <w:r w:rsidRPr="00362F27">
        <w:rPr>
          <w:rFonts w:ascii="Tahoma" w:hAnsi="Tahoma" w:cs="Tahoma"/>
          <w:sz w:val="20"/>
          <w:szCs w:val="20"/>
        </w:rPr>
        <w:t xml:space="preserve">Критерии формирования пула </w:t>
      </w:r>
      <w:r>
        <w:rPr>
          <w:rFonts w:ascii="Tahoma" w:eastAsiaTheme="minorEastAsia" w:hAnsi="Tahoma" w:cs="Tahoma"/>
          <w:sz w:val="20"/>
          <w:szCs w:val="20"/>
        </w:rPr>
        <w:t xml:space="preserve">репрезентативных </w:t>
      </w:r>
      <w:r w:rsidRPr="00362F27">
        <w:rPr>
          <w:rFonts w:ascii="Tahoma" w:hAnsi="Tahoma" w:cs="Tahoma"/>
          <w:sz w:val="20"/>
          <w:szCs w:val="20"/>
        </w:rPr>
        <w:t>ИЦБ для выпуска: средняя дата выдачи кредита (винтаж)</w:t>
      </w:r>
      <w:r w:rsidR="0055563A" w:rsidRPr="0055563A">
        <w:rPr>
          <w:rFonts w:ascii="Tahoma" w:hAnsi="Tahoma" w:cs="Tahoma"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VN</m:t>
        </m:r>
      </m:oMath>
      <w:r w:rsidRPr="00362F27">
        <w:rPr>
          <w:rFonts w:ascii="Tahoma" w:hAnsi="Tahoma" w:cs="Tahoma"/>
          <w:sz w:val="20"/>
          <w:szCs w:val="20"/>
        </w:rPr>
        <w:t xml:space="preserve"> в соответствии с закладными или обязательствами, включенными в обеспечение, </w:t>
      </w:r>
      <m:oMath>
        <m:r>
          <w:rPr>
            <w:rFonts w:ascii="Cambria Math" w:hAnsi="Cambria Math" w:cs="Tahoma"/>
            <w:sz w:val="20"/>
            <w:szCs w:val="20"/>
            <w:lang w:val="en-US"/>
          </w:rPr>
          <m:t>WAC</m:t>
        </m:r>
      </m:oMath>
      <w:r w:rsidRPr="00362F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</w:t>
      </w:r>
      <m:oMath>
        <m:r>
          <w:rPr>
            <w:rFonts w:ascii="Cambria Math" w:hAnsi="Cambria Math" w:cs="Tahoma"/>
            <w:sz w:val="20"/>
            <w:szCs w:val="20"/>
            <w:lang w:val="en-US"/>
          </w:rPr>
          <m:t>WAM</m:t>
        </m:r>
      </m:oMath>
      <w:r w:rsidRPr="00362F27">
        <w:rPr>
          <w:rFonts w:ascii="Tahoma" w:hAnsi="Tahoma" w:cs="Tahoma"/>
          <w:sz w:val="20"/>
          <w:szCs w:val="20"/>
        </w:rPr>
        <w:t>.</w:t>
      </w:r>
      <w:r w:rsidR="0055563A">
        <w:rPr>
          <w:rFonts w:ascii="Tahoma" w:hAnsi="Tahoma" w:cs="Tahoma"/>
          <w:sz w:val="20"/>
          <w:szCs w:val="20"/>
        </w:rPr>
        <w:br/>
      </w:r>
    </w:p>
    <w:p w14:paraId="16296A83" w14:textId="7D7B6578" w:rsidR="0055563A" w:rsidRDefault="00025458" w:rsidP="009E09A1">
      <w:pPr>
        <w:numPr>
          <w:ilvl w:val="0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каждого критерия </w:t>
      </w:r>
      <m:oMath>
        <m:r>
          <w:rPr>
            <w:rFonts w:ascii="Cambria Math" w:hAnsi="Cambria Math" w:cs="Tahoma"/>
            <w:sz w:val="20"/>
            <w:szCs w:val="20"/>
          </w:rPr>
          <m:t>CR</m:t>
        </m:r>
      </m:oMath>
      <w:r w:rsidRPr="00025458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вычисляется</w:t>
      </w:r>
      <w:r w:rsidRPr="00025458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максимальное значение критерия по оцениваемым бумагам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max</m:t>
            </m:r>
          </m:sub>
        </m:sSub>
      </m:oMath>
      <w:r>
        <w:rPr>
          <w:rFonts w:ascii="Tahoma" w:eastAsiaTheme="minorEastAsia" w:hAnsi="Tahoma" w:cs="Tahoma"/>
          <w:sz w:val="20"/>
          <w:szCs w:val="20"/>
        </w:rPr>
        <w:t xml:space="preserve"> и минимальное значение критерия по оцениваемым бумагам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min</m:t>
            </m:r>
          </m:sub>
        </m:sSub>
      </m:oMath>
      <w:r w:rsidRPr="00025458">
        <w:rPr>
          <w:rFonts w:ascii="Tahoma" w:eastAsiaTheme="minorEastAsia" w:hAnsi="Tahoma" w:cs="Tahoma"/>
          <w:sz w:val="20"/>
          <w:szCs w:val="20"/>
        </w:rPr>
        <w:t xml:space="preserve">. </w:t>
      </w:r>
      <w:r>
        <w:rPr>
          <w:rFonts w:ascii="Tahoma" w:eastAsiaTheme="minorEastAsia" w:hAnsi="Tahoma" w:cs="Tahoma"/>
          <w:sz w:val="20"/>
          <w:szCs w:val="20"/>
        </w:rPr>
        <w:t>Для определения репрезентативных ИЦБ используются взвешенные значения критериев:</w:t>
      </w: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bar>
            <m:barPr>
              <m:pos m:val="top"/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 w:cs="Tahoma"/>
                  <w:sz w:val="20"/>
                  <w:szCs w:val="20"/>
                </w:rPr>
                <m:t>CR</m:t>
              </m:r>
            </m:e>
          </m:bar>
          <m: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</w:rPr>
                <m:t>CR-C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hAnsi="Tahoma" w:cs="Tahoma"/>
              <w:sz w:val="20"/>
              <w:szCs w:val="20"/>
            </w:rPr>
            <w:br/>
          </m:r>
        </m:oMath>
      </m:oMathPara>
    </w:p>
    <w:p w14:paraId="3AEC0D7D" w14:textId="59C8B247" w:rsidR="009E09A1" w:rsidRPr="00362F27" w:rsidRDefault="009E09A1" w:rsidP="009E09A1">
      <w:pPr>
        <w:numPr>
          <w:ilvl w:val="0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2F27">
        <w:rPr>
          <w:rFonts w:ascii="Tahoma" w:hAnsi="Tahoma" w:cs="Tahoma"/>
          <w:sz w:val="20"/>
          <w:szCs w:val="20"/>
        </w:rPr>
        <w:t>Для каждого выпуска ИЦБ подбираются 3 ближайших выпуска в соответствии с п</w:t>
      </w:r>
      <w:r>
        <w:rPr>
          <w:rFonts w:ascii="Tahoma" w:hAnsi="Tahoma" w:cs="Tahoma"/>
          <w:sz w:val="20"/>
          <w:szCs w:val="20"/>
        </w:rPr>
        <w:t>.</w:t>
      </w:r>
      <w:r w:rsidRPr="00362F27">
        <w:rPr>
          <w:rFonts w:ascii="Tahoma" w:hAnsi="Tahoma" w:cs="Tahoma"/>
          <w:sz w:val="20"/>
          <w:szCs w:val="20"/>
        </w:rPr>
        <w:t xml:space="preserve"> 1</w:t>
      </w:r>
      <w:r w:rsidR="00025458" w:rsidRPr="00025458">
        <w:rPr>
          <w:rFonts w:ascii="Tahoma" w:hAnsi="Tahoma" w:cs="Tahoma"/>
          <w:sz w:val="20"/>
          <w:szCs w:val="20"/>
        </w:rPr>
        <w:t xml:space="preserve"> </w:t>
      </w:r>
      <w:r w:rsidR="00025458">
        <w:rPr>
          <w:rFonts w:ascii="Tahoma" w:hAnsi="Tahoma" w:cs="Tahoma"/>
          <w:sz w:val="20"/>
          <w:szCs w:val="20"/>
        </w:rPr>
        <w:t xml:space="preserve">и п. 2 </w:t>
      </w:r>
      <w:r w:rsidR="004E0F8D">
        <w:rPr>
          <w:rFonts w:ascii="Tahoma" w:hAnsi="Tahoma" w:cs="Tahoma"/>
          <w:sz w:val="20"/>
          <w:szCs w:val="20"/>
        </w:rPr>
        <w:t xml:space="preserve">по </w:t>
      </w:r>
      <w:r w:rsidR="00025458">
        <w:rPr>
          <w:rFonts w:ascii="Tahoma" w:hAnsi="Tahoma" w:cs="Tahoma"/>
          <w:sz w:val="20"/>
          <w:szCs w:val="20"/>
        </w:rPr>
        <w:t>метрик</w:t>
      </w:r>
      <w:r w:rsidR="004E0F8D">
        <w:rPr>
          <w:rFonts w:ascii="Tahoma" w:hAnsi="Tahoma" w:cs="Tahoma"/>
          <w:sz w:val="20"/>
          <w:szCs w:val="20"/>
        </w:rPr>
        <w:t>е</w:t>
      </w:r>
      <w:r w:rsidR="00025458" w:rsidRPr="00025458">
        <w:rPr>
          <w:rFonts w:ascii="Tahoma" w:hAnsi="Tahoma" w:cs="Tahoma"/>
          <w:sz w:val="20"/>
          <w:szCs w:val="20"/>
        </w:rPr>
        <w:t xml:space="preserve"> </w:t>
      </w:r>
      <w:r w:rsidR="00025458">
        <w:rPr>
          <w:rFonts w:ascii="Tahoma" w:hAnsi="Tahoma" w:cs="Tahoma"/>
          <w:sz w:val="20"/>
          <w:szCs w:val="20"/>
        </w:rPr>
        <w:t xml:space="preserve">близости бумаги </w:t>
      </w:r>
      <m:oMath>
        <m:r>
          <w:rPr>
            <w:rFonts w:ascii="Cambria Math" w:hAnsi="Cambria Math" w:cs="Tahoma"/>
            <w:sz w:val="20"/>
            <w:szCs w:val="20"/>
          </w:rPr>
          <m:t>k</m:t>
        </m:r>
      </m:oMath>
      <w:r w:rsidR="00025458" w:rsidRPr="00025458">
        <w:rPr>
          <w:rFonts w:ascii="Tahoma" w:eastAsiaTheme="minorEastAsia" w:hAnsi="Tahoma" w:cs="Tahoma"/>
          <w:sz w:val="20"/>
          <w:szCs w:val="20"/>
        </w:rPr>
        <w:t xml:space="preserve"> </w:t>
      </w:r>
      <w:r w:rsidR="00025458">
        <w:rPr>
          <w:rFonts w:ascii="Tahoma" w:eastAsiaTheme="minorEastAsia" w:hAnsi="Tahoma" w:cs="Tahoma"/>
          <w:sz w:val="20"/>
          <w:szCs w:val="20"/>
        </w:rPr>
        <w:t>к оцениваемой</w:t>
      </w:r>
      <w:r w:rsidR="00025458">
        <w:rPr>
          <w:rFonts w:ascii="Tahoma" w:hAnsi="Tahoma" w:cs="Tahoma"/>
          <w:sz w:val="20"/>
          <w:szCs w:val="20"/>
        </w:rPr>
        <w:t>:</w:t>
      </w:r>
      <w:r w:rsidR="00025458">
        <w:rPr>
          <w:rFonts w:ascii="Tahoma" w:hAnsi="Tahoma" w:cs="Tahoma"/>
          <w:sz w:val="20"/>
          <w:szCs w:val="20"/>
        </w:rPr>
        <w:br/>
      </w:r>
      <m:oMathPara>
        <m:oMath>
          <m:r>
            <w:rPr>
              <w:rFonts w:ascii="Cambria Math" w:hAnsi="Cambria Math" w:cs="Tahoma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i/>
                  <w:iCs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dist</m:t>
              </m: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k</m:t>
              </m:r>
            </m:sub>
          </m:sSub>
          <m:r>
            <w:rPr>
              <w:rFonts w:ascii="Cambria Math" w:hAnsi="Cambria Math" w:cs="Tahoma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radPr>
            <m:deg/>
            <m:e>
              <m:nary>
                <m:naryPr>
                  <m:chr m:val="∑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CR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k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CR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ahoma"/>
                  <w:sz w:val="20"/>
                  <w:szCs w:val="20"/>
                </w:rPr>
                <m:t>.</m:t>
              </m:r>
            </m:e>
          </m:rad>
          <m:r>
            <m:rPr>
              <m:sty m:val="p"/>
            </m:rPr>
            <w:rPr>
              <w:rFonts w:ascii="Tahoma" w:hAnsi="Tahoma" w:cs="Tahoma"/>
              <w:sz w:val="20"/>
              <w:szCs w:val="20"/>
            </w:rPr>
            <w:br/>
          </m:r>
        </m:oMath>
      </m:oMathPara>
      <w:r w:rsidR="00083691">
        <w:rPr>
          <w:rFonts w:ascii="Tahoma" w:hAnsi="Tahoma" w:cs="Tahoma"/>
          <w:sz w:val="20"/>
          <w:szCs w:val="20"/>
          <w:lang w:val="en-US"/>
        </w:rPr>
        <w:t>C</w:t>
      </w:r>
      <w:r w:rsidRPr="00362F27">
        <w:rPr>
          <w:rFonts w:ascii="Tahoma" w:hAnsi="Tahoma" w:cs="Tahoma"/>
          <w:sz w:val="20"/>
          <w:szCs w:val="20"/>
        </w:rPr>
        <w:t>тавк</w:t>
      </w:r>
      <w:r w:rsidR="00B26F52">
        <w:rPr>
          <w:rFonts w:ascii="Tahoma" w:hAnsi="Tahoma" w:cs="Tahoma"/>
          <w:sz w:val="20"/>
          <w:szCs w:val="20"/>
        </w:rPr>
        <w:t>и</w:t>
      </w:r>
      <w:r w:rsidRPr="00362F27">
        <w:rPr>
          <w:rFonts w:ascii="Tahoma" w:hAnsi="Tahoma" w:cs="Tahoma"/>
          <w:sz w:val="20"/>
          <w:szCs w:val="20"/>
        </w:rPr>
        <w:t xml:space="preserve"> </w:t>
      </w:r>
      <w:r w:rsidR="004E54C3">
        <w:rPr>
          <w:rFonts w:ascii="Tahoma" w:hAnsi="Tahoma" w:cs="Tahoma"/>
          <w:sz w:val="20"/>
          <w:szCs w:val="20"/>
        </w:rPr>
        <w:t> </w: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hAnsi="Cambria Math" w:cs="Tahoma"/>
                <w:sz w:val="20"/>
                <w:szCs w:val="20"/>
              </w:rPr>
              <m:t>market,j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 xml:space="preserve"> </m:t>
        </m:r>
      </m:oMath>
      <w:r w:rsidR="00B26F52">
        <w:rPr>
          <w:rFonts w:ascii="Tahoma" w:hAnsi="Tahoma" w:cs="Tahoma"/>
          <w:sz w:val="20"/>
          <w:szCs w:val="20"/>
        </w:rPr>
        <w:t xml:space="preserve"> и </w:t>
      </w:r>
      <w:r w:rsidR="004E54C3">
        <w:rPr>
          <w:rFonts w:ascii="Tahoma" w:hAnsi="Tahoma" w:cs="Tahoma"/>
          <w:sz w:val="20"/>
          <w:szCs w:val="20"/>
        </w:rPr>
        <w:t> </w: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CDR</m:t>
                </m:r>
              </m:e>
            </m:acc>
          </m:e>
          <m:sub>
            <m:r>
              <w:rPr>
                <w:rFonts w:ascii="Cambria Math" w:hAnsi="Cambria Math" w:cs="Tahoma"/>
                <w:sz w:val="20"/>
                <w:szCs w:val="20"/>
              </w:rPr>
              <m:t>market,j</m:t>
            </m:r>
          </m:sub>
        </m:sSub>
      </m:oMath>
      <w:r w:rsidR="004E54C3" w:rsidRPr="004E54C3">
        <w:rPr>
          <w:rFonts w:ascii="Tahoma" w:eastAsiaTheme="minorEastAsia" w:hAnsi="Tahoma" w:cs="Tahoma"/>
          <w:sz w:val="20"/>
          <w:szCs w:val="20"/>
        </w:rPr>
        <w:t xml:space="preserve"> (</w:t>
      </w:r>
      <w:r w:rsidR="004E54C3">
        <w:rPr>
          <w:rFonts w:ascii="Tahoma" w:eastAsiaTheme="minorEastAsia" w:hAnsi="Tahoma" w:cs="Tahoma"/>
          <w:sz w:val="20"/>
          <w:szCs w:val="20"/>
        </w:rPr>
        <w:t>пп. 2.3.6)</w:t>
      </w:r>
      <w:r w:rsidRPr="00362F27">
        <w:rPr>
          <w:rFonts w:ascii="Tahoma" w:hAnsi="Tahoma" w:cs="Tahoma"/>
          <w:sz w:val="20"/>
          <w:szCs w:val="20"/>
        </w:rPr>
        <w:t xml:space="preserve"> определяется как простое среднее по этим выпускам.</w:t>
      </w:r>
    </w:p>
    <w:p w14:paraId="0CCE3A3F" w14:textId="77777777" w:rsidR="009E09A1" w:rsidRPr="006E52E6" w:rsidRDefault="009E09A1" w:rsidP="009E09A1">
      <w:pPr>
        <w:pStyle w:val="10"/>
        <w:rPr>
          <w:color w:val="2F5496" w:themeColor="accent1" w:themeShade="BF"/>
          <w:sz w:val="24"/>
        </w:rPr>
      </w:pPr>
    </w:p>
    <w:p w14:paraId="630E29BF" w14:textId="77777777" w:rsidR="002A4072" w:rsidRDefault="002A4072"/>
    <w:sectPr w:rsidR="002A4072" w:rsidSect="00207292">
      <w:footerReference w:type="default" r:id="rId8"/>
      <w:pgSz w:w="11906" w:h="16838"/>
      <w:pgMar w:top="1134" w:right="707" w:bottom="1134" w:left="1418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F97C" w14:textId="77777777" w:rsidR="00821715" w:rsidRDefault="00821715" w:rsidP="009E09A1">
      <w:pPr>
        <w:spacing w:after="0" w:line="240" w:lineRule="auto"/>
      </w:pPr>
      <w:r>
        <w:separator/>
      </w:r>
    </w:p>
  </w:endnote>
  <w:endnote w:type="continuationSeparator" w:id="0">
    <w:p w14:paraId="7411831A" w14:textId="77777777" w:rsidR="00821715" w:rsidRDefault="00821715" w:rsidP="009E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F7F7F" w:themeColor="text1" w:themeTint="80"/>
        <w:sz w:val="16"/>
        <w:szCs w:val="16"/>
      </w:rPr>
      <w:id w:val="-14843021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284341" w14:textId="4A3A239F" w:rsidR="00821715" w:rsidRPr="00165DF5" w:rsidRDefault="00821715">
        <w:pPr>
          <w:pStyle w:val="a9"/>
          <w:jc w:val="right"/>
          <w:rPr>
            <w:rFonts w:ascii="Tahoma" w:hAnsi="Tahoma" w:cs="Tahoma"/>
            <w:color w:val="7F7F7F" w:themeColor="text1" w:themeTint="80"/>
            <w:sz w:val="20"/>
            <w:szCs w:val="16"/>
          </w:rPr>
        </w:pP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begin"/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instrText>PAGE   \* MERGEFORMAT</w:instrText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separate"/>
        </w:r>
        <w:r w:rsidR="007C03BE" w:rsidRPr="007C03BE">
          <w:rPr>
            <w:rFonts w:cs="Tahoma"/>
            <w:noProof/>
            <w:color w:val="7F7F7F" w:themeColor="text1" w:themeTint="80"/>
            <w:szCs w:val="16"/>
          </w:rPr>
          <w:t>2</w:t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end"/>
        </w:r>
      </w:p>
    </w:sdtContent>
  </w:sdt>
  <w:p w14:paraId="27A8FE30" w14:textId="6B29D96C" w:rsidR="00821715" w:rsidRPr="00165DF5" w:rsidRDefault="00821715" w:rsidP="00207292">
    <w:pPr>
      <w:pStyle w:val="a9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 xml:space="preserve">© НКО АО </w:t>
    </w:r>
    <w:r w:rsidRPr="00656CF5">
      <w:rPr>
        <w:rFonts w:ascii="Tahoma" w:hAnsi="Tahoma" w:cs="Tahoma"/>
        <w:color w:val="7F7F7F" w:themeColor="text1" w:themeTint="80"/>
        <w:sz w:val="16"/>
        <w:szCs w:val="16"/>
      </w:rPr>
      <w:t>НРД 2020 г. Все права</w:t>
    </w:r>
    <w:r w:rsidRPr="00165DF5">
      <w:rPr>
        <w:rFonts w:ascii="Tahoma" w:hAnsi="Tahoma" w:cs="Tahoma"/>
        <w:color w:val="7F7F7F" w:themeColor="text1" w:themeTint="80"/>
        <w:sz w:val="16"/>
        <w:szCs w:val="16"/>
      </w:rPr>
      <w:t xml:space="preserve"> защищены.</w:t>
    </w:r>
    <w:r w:rsidRPr="00165DF5">
      <w:rPr>
        <w:rFonts w:ascii="Tahoma" w:hAnsi="Tahoma" w:cs="Tahoma"/>
        <w:color w:val="7F7F7F" w:themeColor="text1" w:themeTint="80"/>
        <w:sz w:val="16"/>
        <w:szCs w:val="16"/>
      </w:rPr>
      <w:br/>
    </w:r>
    <w:r w:rsidRPr="00394148">
      <w:rPr>
        <w:rFonts w:ascii="Tahoma" w:hAnsi="Tahoma" w:cs="Tahoma"/>
        <w:color w:val="7F7F7F" w:themeColor="text1" w:themeTint="80"/>
        <w:sz w:val="16"/>
        <w:szCs w:val="16"/>
      </w:rPr>
      <w:t>Методика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 w:rsidRPr="00394148">
      <w:rPr>
        <w:rFonts w:ascii="Tahoma" w:hAnsi="Tahoma" w:cs="Tahoma"/>
        <w:color w:val="7F7F7F" w:themeColor="text1" w:themeTint="80"/>
        <w:sz w:val="16"/>
        <w:szCs w:val="16"/>
      </w:rPr>
      <w:t xml:space="preserve">определения стоимости </w:t>
    </w:r>
    <w:r>
      <w:rPr>
        <w:rFonts w:ascii="Tahoma" w:hAnsi="Tahoma" w:cs="Tahoma"/>
        <w:color w:val="7F7F7F" w:themeColor="text1" w:themeTint="80"/>
        <w:sz w:val="16"/>
        <w:szCs w:val="16"/>
      </w:rPr>
      <w:t>ипотечных ценных бумаг</w:t>
    </w:r>
  </w:p>
  <w:p w14:paraId="192C4EA8" w14:textId="77777777" w:rsidR="00821715" w:rsidRPr="0005110A" w:rsidRDefault="00821715">
    <w:pPr>
      <w:pStyle w:val="a9"/>
      <w:rPr>
        <w:rFonts w:ascii="Tahoma" w:hAnsi="Tahoma" w:cs="Tahoma"/>
        <w:sz w:val="16"/>
        <w:szCs w:val="16"/>
      </w:rPr>
    </w:pPr>
  </w:p>
  <w:p w14:paraId="53D246FE" w14:textId="77777777" w:rsidR="00821715" w:rsidRDefault="00821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0BB0" w14:textId="77777777" w:rsidR="00821715" w:rsidRDefault="00821715" w:rsidP="009E09A1">
      <w:pPr>
        <w:spacing w:after="0" w:line="240" w:lineRule="auto"/>
      </w:pPr>
      <w:r>
        <w:separator/>
      </w:r>
    </w:p>
  </w:footnote>
  <w:footnote w:type="continuationSeparator" w:id="0">
    <w:p w14:paraId="5A75636D" w14:textId="77777777" w:rsidR="00821715" w:rsidRDefault="00821715" w:rsidP="009E09A1">
      <w:pPr>
        <w:spacing w:after="0" w:line="240" w:lineRule="auto"/>
      </w:pPr>
      <w:r>
        <w:continuationSeparator/>
      </w:r>
    </w:p>
  </w:footnote>
  <w:footnote w:id="1">
    <w:p w14:paraId="517F1CB6" w14:textId="77777777" w:rsidR="00821715" w:rsidRPr="00237C40" w:rsidRDefault="00821715" w:rsidP="009E09A1">
      <w:pPr>
        <w:pStyle w:val="a6"/>
      </w:pPr>
      <w:r>
        <w:rPr>
          <w:rStyle w:val="a8"/>
        </w:rPr>
        <w:footnoteRef/>
      </w:r>
      <w:r w:rsidRPr="00237C40">
        <w:t xml:space="preserve"> </w:t>
      </w:r>
      <w:r>
        <w:t xml:space="preserve">Ссылка на текст </w:t>
      </w:r>
      <w:r w:rsidRPr="00F272D6">
        <w:t>Методик</w:t>
      </w:r>
      <w:r>
        <w:t>и</w:t>
      </w:r>
      <w:r w:rsidRPr="00F272D6">
        <w:t xml:space="preserve"> определения стоимости рублевых облигаций</w:t>
      </w:r>
      <w:r>
        <w:t xml:space="preserve"> на дату утверждения </w:t>
      </w:r>
      <w:hyperlink r:id="rId1" w:history="1">
        <w:r w:rsidRPr="00DE694F">
          <w:rPr>
            <w:rStyle w:val="af6"/>
            <w:color w:val="C00000"/>
          </w:rPr>
          <w:t>https://nsddata.ru/files/docs/val/metodika_bonds_27062019.pdf</w:t>
        </w:r>
      </w:hyperlink>
      <w:r>
        <w:t xml:space="preserve"> </w:t>
      </w:r>
    </w:p>
  </w:footnote>
  <w:footnote w:id="2">
    <w:p w14:paraId="147D516E" w14:textId="77777777" w:rsidR="00821715" w:rsidRDefault="00821715" w:rsidP="009E09A1">
      <w:pPr>
        <w:pStyle w:val="a6"/>
      </w:pPr>
      <w:r>
        <w:rPr>
          <w:rStyle w:val="a8"/>
        </w:rPr>
        <w:footnoteRef/>
      </w:r>
      <w:r>
        <w:t xml:space="preserve"> Реестры ипотечного покрытия публикуются </w:t>
      </w:r>
      <w:r w:rsidRPr="00096AC6">
        <w:t xml:space="preserve">на сайте раскрытия информации </w:t>
      </w:r>
      <w:hyperlink r:id="rId2" w:history="1">
        <w:r w:rsidRPr="000F4FF1">
          <w:rPr>
            <w:rStyle w:val="af6"/>
            <w:color w:val="C00000"/>
          </w:rPr>
          <w:t>e-disclosure.ru</w:t>
        </w:r>
      </w:hyperlink>
    </w:p>
  </w:footnote>
  <w:footnote w:id="3">
    <w:p w14:paraId="26A99E3D" w14:textId="77777777" w:rsidR="00821715" w:rsidRDefault="00821715" w:rsidP="009E09A1">
      <w:pPr>
        <w:pStyle w:val="a6"/>
      </w:pPr>
      <w:r>
        <w:rPr>
          <w:rStyle w:val="a8"/>
        </w:rPr>
        <w:footnoteRef/>
      </w:r>
      <w:r>
        <w:t xml:space="preserve"> </w:t>
      </w:r>
      <w:hyperlink r:id="rId3" w:history="1">
        <w:r w:rsidRPr="0094641D">
          <w:rPr>
            <w:rStyle w:val="af6"/>
            <w:color w:val="C00000"/>
          </w:rPr>
          <w:t>https://www.moex.com/a3642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5B"/>
    <w:multiLevelType w:val="multilevel"/>
    <w:tmpl w:val="7B9CB16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F531E6"/>
    <w:multiLevelType w:val="multilevel"/>
    <w:tmpl w:val="6CCC2AEC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2E2988"/>
    <w:multiLevelType w:val="multilevel"/>
    <w:tmpl w:val="00725B8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4583632"/>
    <w:multiLevelType w:val="multilevel"/>
    <w:tmpl w:val="1FBCF5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200" w:hanging="48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706D2C"/>
    <w:multiLevelType w:val="multilevel"/>
    <w:tmpl w:val="9B800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9F6BBB"/>
    <w:multiLevelType w:val="hybridMultilevel"/>
    <w:tmpl w:val="F90C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0ACC"/>
    <w:multiLevelType w:val="multilevel"/>
    <w:tmpl w:val="A918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581BE5"/>
    <w:multiLevelType w:val="multilevel"/>
    <w:tmpl w:val="FFC83F6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17B6621"/>
    <w:multiLevelType w:val="hybridMultilevel"/>
    <w:tmpl w:val="A3C400AA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43A5FA3"/>
    <w:multiLevelType w:val="hybridMultilevel"/>
    <w:tmpl w:val="2552F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0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1361E0"/>
    <w:multiLevelType w:val="hybridMultilevel"/>
    <w:tmpl w:val="B00E8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4AAF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60EFE"/>
    <w:multiLevelType w:val="multilevel"/>
    <w:tmpl w:val="CEA29B9C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427D6515"/>
    <w:multiLevelType w:val="hybridMultilevel"/>
    <w:tmpl w:val="2FCAA5F2"/>
    <w:lvl w:ilvl="0" w:tplc="E7509E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46C9"/>
    <w:multiLevelType w:val="hybridMultilevel"/>
    <w:tmpl w:val="A506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3AD7"/>
    <w:multiLevelType w:val="multilevel"/>
    <w:tmpl w:val="46C698D6"/>
    <w:styleLink w:val="1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E567A3B"/>
    <w:multiLevelType w:val="multilevel"/>
    <w:tmpl w:val="0F78E24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1D1000B"/>
    <w:multiLevelType w:val="multilevel"/>
    <w:tmpl w:val="14381CD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4AB6187"/>
    <w:multiLevelType w:val="multilevel"/>
    <w:tmpl w:val="C5BE896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B48309D"/>
    <w:multiLevelType w:val="hybridMultilevel"/>
    <w:tmpl w:val="76A04EC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43D4C3A"/>
    <w:multiLevelType w:val="hybridMultilevel"/>
    <w:tmpl w:val="F68046D4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50A7781"/>
    <w:multiLevelType w:val="multilevel"/>
    <w:tmpl w:val="46C698D6"/>
    <w:numStyleLink w:val="1"/>
  </w:abstractNum>
  <w:abstractNum w:abstractNumId="22" w15:restartNumberingAfterBreak="0">
    <w:nsid w:val="69814559"/>
    <w:multiLevelType w:val="hybridMultilevel"/>
    <w:tmpl w:val="46BE5B9A"/>
    <w:lvl w:ilvl="0" w:tplc="CCD6DA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D674928"/>
    <w:multiLevelType w:val="multilevel"/>
    <w:tmpl w:val="0F78E24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0BE69BA"/>
    <w:multiLevelType w:val="multilevel"/>
    <w:tmpl w:val="3CC4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0EF4EC7"/>
    <w:multiLevelType w:val="hybridMultilevel"/>
    <w:tmpl w:val="D220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260CD"/>
    <w:multiLevelType w:val="hybridMultilevel"/>
    <w:tmpl w:val="2FCAA5F2"/>
    <w:lvl w:ilvl="0" w:tplc="E7509E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A0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CE2DCF"/>
    <w:multiLevelType w:val="multilevel"/>
    <w:tmpl w:val="9C4C779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21"/>
  </w:num>
  <w:num w:numId="10">
    <w:abstractNumId w:val="7"/>
  </w:num>
  <w:num w:numId="11">
    <w:abstractNumId w:val="11"/>
  </w:num>
  <w:num w:numId="12">
    <w:abstractNumId w:val="17"/>
  </w:num>
  <w:num w:numId="13">
    <w:abstractNumId w:val="12"/>
  </w:num>
  <w:num w:numId="14">
    <w:abstractNumId w:val="19"/>
  </w:num>
  <w:num w:numId="15">
    <w:abstractNumId w:val="20"/>
  </w:num>
  <w:num w:numId="16">
    <w:abstractNumId w:val="8"/>
  </w:num>
  <w:num w:numId="17">
    <w:abstractNumId w:val="3"/>
  </w:num>
  <w:num w:numId="18">
    <w:abstractNumId w:val="9"/>
  </w:num>
  <w:num w:numId="19">
    <w:abstractNumId w:val="4"/>
  </w:num>
  <w:num w:numId="20">
    <w:abstractNumId w:val="14"/>
  </w:num>
  <w:num w:numId="21">
    <w:abstractNumId w:val="23"/>
  </w:num>
  <w:num w:numId="22">
    <w:abstractNumId w:val="16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7"/>
  </w:num>
  <w:num w:numId="27">
    <w:abstractNumId w:val="5"/>
  </w:num>
  <w:num w:numId="28">
    <w:abstractNumId w:val="25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A1"/>
    <w:rsid w:val="00025458"/>
    <w:rsid w:val="000568C2"/>
    <w:rsid w:val="000667BF"/>
    <w:rsid w:val="000821BE"/>
    <w:rsid w:val="00083691"/>
    <w:rsid w:val="00097A95"/>
    <w:rsid w:val="000E2BD2"/>
    <w:rsid w:val="000F4FF1"/>
    <w:rsid w:val="00101E14"/>
    <w:rsid w:val="00134D71"/>
    <w:rsid w:val="00147171"/>
    <w:rsid w:val="00167C29"/>
    <w:rsid w:val="00171806"/>
    <w:rsid w:val="00181DA9"/>
    <w:rsid w:val="00207292"/>
    <w:rsid w:val="0022613D"/>
    <w:rsid w:val="00293C50"/>
    <w:rsid w:val="0029447B"/>
    <w:rsid w:val="002A4072"/>
    <w:rsid w:val="002E329E"/>
    <w:rsid w:val="003151AB"/>
    <w:rsid w:val="00332FC8"/>
    <w:rsid w:val="00372892"/>
    <w:rsid w:val="00394532"/>
    <w:rsid w:val="0041742F"/>
    <w:rsid w:val="00425C87"/>
    <w:rsid w:val="00451ECC"/>
    <w:rsid w:val="004E0F8D"/>
    <w:rsid w:val="004E54C3"/>
    <w:rsid w:val="0055563A"/>
    <w:rsid w:val="005844DE"/>
    <w:rsid w:val="005A1641"/>
    <w:rsid w:val="00601122"/>
    <w:rsid w:val="00606F8C"/>
    <w:rsid w:val="0061315E"/>
    <w:rsid w:val="0064511A"/>
    <w:rsid w:val="00656CF5"/>
    <w:rsid w:val="00665FC1"/>
    <w:rsid w:val="006870AE"/>
    <w:rsid w:val="006C5643"/>
    <w:rsid w:val="0070641A"/>
    <w:rsid w:val="00736ABC"/>
    <w:rsid w:val="0079027E"/>
    <w:rsid w:val="007C03BE"/>
    <w:rsid w:val="007E3E37"/>
    <w:rsid w:val="00821715"/>
    <w:rsid w:val="008217EB"/>
    <w:rsid w:val="00843EB0"/>
    <w:rsid w:val="00862C37"/>
    <w:rsid w:val="0086320F"/>
    <w:rsid w:val="00912153"/>
    <w:rsid w:val="0094641D"/>
    <w:rsid w:val="00966593"/>
    <w:rsid w:val="009A04F4"/>
    <w:rsid w:val="009C02AA"/>
    <w:rsid w:val="009C1612"/>
    <w:rsid w:val="009D2CF6"/>
    <w:rsid w:val="009E09A1"/>
    <w:rsid w:val="009F342B"/>
    <w:rsid w:val="00AB00F2"/>
    <w:rsid w:val="00AC1667"/>
    <w:rsid w:val="00AC40AE"/>
    <w:rsid w:val="00AE05AE"/>
    <w:rsid w:val="00B17603"/>
    <w:rsid w:val="00B26F52"/>
    <w:rsid w:val="00BB56C8"/>
    <w:rsid w:val="00C03280"/>
    <w:rsid w:val="00C1303E"/>
    <w:rsid w:val="00C321B5"/>
    <w:rsid w:val="00C36B8B"/>
    <w:rsid w:val="00C56C2F"/>
    <w:rsid w:val="00CE4E74"/>
    <w:rsid w:val="00D2529C"/>
    <w:rsid w:val="00D53C53"/>
    <w:rsid w:val="00D87DE8"/>
    <w:rsid w:val="00DB665E"/>
    <w:rsid w:val="00DB7AE7"/>
    <w:rsid w:val="00DC467C"/>
    <w:rsid w:val="00DE694F"/>
    <w:rsid w:val="00E27BAA"/>
    <w:rsid w:val="00E72B89"/>
    <w:rsid w:val="00EA5807"/>
    <w:rsid w:val="00ED79A9"/>
    <w:rsid w:val="00EE3E29"/>
    <w:rsid w:val="00EF24C3"/>
    <w:rsid w:val="00EF2E0B"/>
    <w:rsid w:val="00F17C00"/>
    <w:rsid w:val="00F246F4"/>
    <w:rsid w:val="00F43F2A"/>
    <w:rsid w:val="00F86C23"/>
    <w:rsid w:val="00FC6DD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16B1"/>
  <w15:chartTrackingRefBased/>
  <w15:docId w15:val="{CA16EE30-23BB-454D-9E08-F8777298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A1"/>
  </w:style>
  <w:style w:type="paragraph" w:styleId="20">
    <w:name w:val="heading 2"/>
    <w:basedOn w:val="a"/>
    <w:next w:val="a"/>
    <w:link w:val="21"/>
    <w:uiPriority w:val="9"/>
    <w:qFormat/>
    <w:rsid w:val="009E09A1"/>
    <w:pPr>
      <w:spacing w:before="120" w:after="120" w:line="240" w:lineRule="auto"/>
      <w:ind w:firstLine="42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9E09A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E09A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E09A1"/>
    <w:pPr>
      <w:spacing w:after="24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E09A1"/>
    <w:rPr>
      <w:rFonts w:eastAsiaTheme="minorEastAsia"/>
      <w:sz w:val="20"/>
      <w:szCs w:val="20"/>
    </w:rPr>
  </w:style>
  <w:style w:type="paragraph" w:styleId="a6">
    <w:name w:val="footnote text"/>
    <w:basedOn w:val="a"/>
    <w:link w:val="a7"/>
    <w:unhideWhenUsed/>
    <w:qFormat/>
    <w:rsid w:val="009E09A1"/>
    <w:pPr>
      <w:spacing w:after="0" w:line="240" w:lineRule="auto"/>
    </w:pPr>
    <w:rPr>
      <w:rFonts w:ascii="Tahoma" w:eastAsiaTheme="minorEastAsia" w:hAnsi="Tahoma"/>
      <w:sz w:val="16"/>
      <w:szCs w:val="20"/>
    </w:rPr>
  </w:style>
  <w:style w:type="character" w:customStyle="1" w:styleId="a7">
    <w:name w:val="Текст сноски Знак"/>
    <w:basedOn w:val="a0"/>
    <w:link w:val="a6"/>
    <w:rsid w:val="009E09A1"/>
    <w:rPr>
      <w:rFonts w:ascii="Tahoma" w:eastAsiaTheme="minorEastAsia" w:hAnsi="Tahoma"/>
      <w:sz w:val="16"/>
      <w:szCs w:val="20"/>
    </w:rPr>
  </w:style>
  <w:style w:type="character" w:styleId="a8">
    <w:name w:val="footnote reference"/>
    <w:basedOn w:val="a0"/>
    <w:unhideWhenUsed/>
    <w:rsid w:val="009E09A1"/>
    <w:rPr>
      <w:vertAlign w:val="superscript"/>
    </w:rPr>
  </w:style>
  <w:style w:type="paragraph" w:styleId="a9">
    <w:name w:val="footer"/>
    <w:basedOn w:val="a"/>
    <w:link w:val="aa"/>
    <w:unhideWhenUsed/>
    <w:rsid w:val="009E09A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rsid w:val="009E09A1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9E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09A1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9E09A1"/>
    <w:pPr>
      <w:spacing w:after="0" w:line="240" w:lineRule="auto"/>
    </w:pPr>
  </w:style>
  <w:style w:type="paragraph" w:styleId="ae">
    <w:name w:val="annotation subject"/>
    <w:basedOn w:val="a4"/>
    <w:next w:val="a4"/>
    <w:link w:val="af"/>
    <w:uiPriority w:val="99"/>
    <w:semiHidden/>
    <w:unhideWhenUsed/>
    <w:rsid w:val="009E09A1"/>
    <w:pPr>
      <w:spacing w:after="160"/>
    </w:pPr>
    <w:rPr>
      <w:rFonts w:eastAsiaTheme="minorHAnsi"/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9E09A1"/>
    <w:rPr>
      <w:rFonts w:eastAsiaTheme="minorEastAsia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9E09A1"/>
    <w:rPr>
      <w:color w:val="808080"/>
    </w:rPr>
  </w:style>
  <w:style w:type="table" w:styleId="af1">
    <w:name w:val="Table Grid"/>
    <w:basedOn w:val="a1"/>
    <w:uiPriority w:val="39"/>
    <w:rsid w:val="009E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E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E09A1"/>
  </w:style>
  <w:style w:type="paragraph" w:customStyle="1" w:styleId="10">
    <w:name w:val="заголовок 1 уровня"/>
    <w:basedOn w:val="a"/>
    <w:link w:val="11"/>
    <w:qFormat/>
    <w:rsid w:val="009E09A1"/>
    <w:pPr>
      <w:keepNext/>
      <w:keepLines/>
      <w:spacing w:before="40" w:after="0"/>
      <w:outlineLvl w:val="1"/>
    </w:pPr>
    <w:rPr>
      <w:rFonts w:ascii="Tahoma" w:eastAsiaTheme="majorEastAsia" w:hAnsi="Tahoma" w:cs="Tahoma"/>
      <w:b/>
      <w:color w:val="CE1126"/>
      <w:sz w:val="28"/>
      <w:szCs w:val="28"/>
    </w:rPr>
  </w:style>
  <w:style w:type="paragraph" w:customStyle="1" w:styleId="2">
    <w:name w:val="заголовок 2 уровня"/>
    <w:basedOn w:val="a"/>
    <w:link w:val="22"/>
    <w:qFormat/>
    <w:rsid w:val="009E09A1"/>
    <w:pPr>
      <w:keepNext/>
      <w:keepLines/>
      <w:numPr>
        <w:numId w:val="1"/>
      </w:numPr>
      <w:spacing w:before="40" w:after="0"/>
      <w:outlineLvl w:val="1"/>
    </w:pPr>
    <w:rPr>
      <w:rFonts w:ascii="Tahoma" w:eastAsiaTheme="majorEastAsia" w:hAnsi="Tahoma" w:cs="Tahoma"/>
      <w:color w:val="CE1126"/>
      <w:sz w:val="28"/>
      <w:szCs w:val="28"/>
    </w:rPr>
  </w:style>
  <w:style w:type="character" w:customStyle="1" w:styleId="11">
    <w:name w:val="заголовок 1 уровня Знак"/>
    <w:basedOn w:val="a0"/>
    <w:link w:val="10"/>
    <w:rsid w:val="009E09A1"/>
    <w:rPr>
      <w:rFonts w:ascii="Tahoma" w:eastAsiaTheme="majorEastAsia" w:hAnsi="Tahoma" w:cs="Tahoma"/>
      <w:b/>
      <w:color w:val="CE1126"/>
      <w:sz w:val="28"/>
      <w:szCs w:val="28"/>
    </w:rPr>
  </w:style>
  <w:style w:type="character" w:customStyle="1" w:styleId="22">
    <w:name w:val="заголовок 2 уровня Знак"/>
    <w:basedOn w:val="a0"/>
    <w:link w:val="2"/>
    <w:rsid w:val="009E09A1"/>
    <w:rPr>
      <w:rFonts w:ascii="Tahoma" w:eastAsiaTheme="majorEastAsia" w:hAnsi="Tahoma" w:cs="Tahoma"/>
      <w:color w:val="CE1126"/>
      <w:sz w:val="28"/>
      <w:szCs w:val="28"/>
    </w:rPr>
  </w:style>
  <w:style w:type="paragraph" w:customStyle="1" w:styleId="af4">
    <w:name w:val="сноска"/>
    <w:basedOn w:val="a6"/>
    <w:link w:val="af5"/>
    <w:qFormat/>
    <w:rsid w:val="009E09A1"/>
    <w:rPr>
      <w:rFonts w:cs="Tahoma"/>
    </w:rPr>
  </w:style>
  <w:style w:type="character" w:customStyle="1" w:styleId="af5">
    <w:name w:val="сноска Знак"/>
    <w:basedOn w:val="a7"/>
    <w:link w:val="af4"/>
    <w:rsid w:val="009E09A1"/>
    <w:rPr>
      <w:rFonts w:ascii="Tahoma" w:eastAsiaTheme="minorEastAsia" w:hAnsi="Tahoma" w:cs="Tahoma"/>
      <w:sz w:val="16"/>
      <w:szCs w:val="20"/>
    </w:rPr>
  </w:style>
  <w:style w:type="character" w:styleId="af6">
    <w:name w:val="Hyperlink"/>
    <w:basedOn w:val="a0"/>
    <w:uiPriority w:val="99"/>
    <w:unhideWhenUsed/>
    <w:rsid w:val="009E09A1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9E09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">
    <w:name w:val="Стиль1"/>
    <w:uiPriority w:val="99"/>
    <w:rsid w:val="009E09A1"/>
    <w:pPr>
      <w:numPr>
        <w:numId w:val="8"/>
      </w:numPr>
    </w:pPr>
  </w:style>
  <w:style w:type="table" w:customStyle="1" w:styleId="51">
    <w:name w:val="Таблица простая 51"/>
    <w:basedOn w:val="a1"/>
    <w:uiPriority w:val="45"/>
    <w:rsid w:val="009E09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7">
    <w:name w:val="List Paragraph"/>
    <w:basedOn w:val="a"/>
    <w:uiPriority w:val="34"/>
    <w:qFormat/>
    <w:rsid w:val="009E09A1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E09A1"/>
    <w:rPr>
      <w:color w:val="954F72" w:themeColor="followedHyperlink"/>
      <w:u w:val="single"/>
    </w:rPr>
  </w:style>
  <w:style w:type="paragraph" w:styleId="af9">
    <w:name w:val="Body Text"/>
    <w:basedOn w:val="a"/>
    <w:link w:val="afa"/>
    <w:qFormat/>
    <w:rsid w:val="009E09A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9E09A1"/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w">
    <w:name w:val="w"/>
    <w:basedOn w:val="a0"/>
    <w:rsid w:val="009E09A1"/>
  </w:style>
  <w:style w:type="character" w:styleId="afb">
    <w:name w:val="Strong"/>
    <w:basedOn w:val="a0"/>
    <w:uiPriority w:val="22"/>
    <w:qFormat/>
    <w:rsid w:val="009E09A1"/>
    <w:rPr>
      <w:b/>
      <w:bCs/>
    </w:rPr>
  </w:style>
  <w:style w:type="paragraph" w:styleId="afc">
    <w:name w:val="Normal (Web)"/>
    <w:basedOn w:val="a"/>
    <w:uiPriority w:val="99"/>
    <w:unhideWhenUsed/>
    <w:rsid w:val="009E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9E09A1"/>
  </w:style>
  <w:style w:type="paragraph" w:styleId="HTML">
    <w:name w:val="HTML Preformatted"/>
    <w:basedOn w:val="a"/>
    <w:link w:val="HTML0"/>
    <w:uiPriority w:val="99"/>
    <w:semiHidden/>
    <w:unhideWhenUsed/>
    <w:rsid w:val="009E0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9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9E09A1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9E09A1"/>
    <w:rPr>
      <w:rFonts w:ascii="Tahoma" w:hAnsi="Tahoma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9E09A1"/>
    <w:rPr>
      <w:vertAlign w:val="superscript"/>
    </w:rPr>
  </w:style>
  <w:style w:type="character" w:customStyle="1" w:styleId="apple-converted-space">
    <w:name w:val="apple-converted-space"/>
    <w:basedOn w:val="a0"/>
    <w:rsid w:val="009E09A1"/>
  </w:style>
  <w:style w:type="character" w:customStyle="1" w:styleId="12">
    <w:name w:val="Неразрешенное упоминание1"/>
    <w:basedOn w:val="a0"/>
    <w:uiPriority w:val="99"/>
    <w:semiHidden/>
    <w:unhideWhenUsed/>
    <w:rsid w:val="009E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ex.com/a3642" TargetMode="External"/><Relationship Id="rId2" Type="http://schemas.openxmlformats.org/officeDocument/2006/relationships/hyperlink" Target="http://delo/DELOWEB/getfile.aspx/6445566/e-disclosure.ru" TargetMode="External"/><Relationship Id="rId1" Type="http://schemas.openxmlformats.org/officeDocument/2006/relationships/hyperlink" Target="https://nsddata.ru/files/docs/val/metodika_bonds_2706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2327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Liubimov</dc:creator>
  <cp:keywords/>
  <dc:description/>
  <cp:lastModifiedBy>Матюхина Людмила Владимировна</cp:lastModifiedBy>
  <cp:revision>16</cp:revision>
  <dcterms:created xsi:type="dcterms:W3CDTF">2020-08-28T12:22:00Z</dcterms:created>
  <dcterms:modified xsi:type="dcterms:W3CDTF">2020-10-09T13:31:00Z</dcterms:modified>
</cp:coreProperties>
</file>